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5A4AC935" w:rsidR="00941E04" w:rsidRPr="00941E04" w:rsidRDefault="00E84394" w:rsidP="00A54AF7">
      <w:pPr>
        <w:rPr>
          <w:color w:val="000000"/>
          <w:sz w:val="24"/>
        </w:rPr>
      </w:pPr>
      <w:r>
        <w:rPr>
          <w:b/>
          <w:color w:val="000000"/>
          <w:sz w:val="32"/>
        </w:rPr>
        <w:t xml:space="preserve">2020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627B3713" w14:textId="36F33FC8" w:rsidR="00D61347" w:rsidRPr="00454FF1" w:rsidRDefault="003C2820">
            <w:pPr>
              <w:rPr>
                <w:rStyle w:val="Strong"/>
                <w:rFonts w:cstheme="minorHAnsi"/>
                <w:color w:val="000000"/>
                <w:bdr w:val="none" w:sz="0" w:space="0" w:color="auto" w:frame="1"/>
              </w:rPr>
            </w:pPr>
            <w:r>
              <w:rPr>
                <w:rStyle w:val="Strong"/>
                <w:rFonts w:cstheme="minorHAnsi"/>
                <w:color w:val="000000"/>
                <w:bdr w:val="none" w:sz="0" w:space="0" w:color="auto" w:frame="1"/>
              </w:rPr>
              <w:t xml:space="preserve">Feeling pressured to perform: Interacting with people when you fear </w:t>
            </w:r>
            <w:proofErr w:type="gramStart"/>
            <w:r>
              <w:rPr>
                <w:rStyle w:val="Strong"/>
                <w:rFonts w:cstheme="minorHAnsi"/>
                <w:color w:val="000000"/>
                <w:bdr w:val="none" w:sz="0" w:space="0" w:color="auto" w:frame="1"/>
              </w:rPr>
              <w:t>prejudice</w:t>
            </w:r>
            <w:proofErr w:type="gramEnd"/>
          </w:p>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2B22BBA0" w:rsidR="003C2820" w:rsidRPr="00E84394" w:rsidRDefault="003C2820">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1DE75631" w14:textId="77777777" w:rsidR="005D1AF3" w:rsidRPr="005D1AF3" w:rsidRDefault="005D1AF3" w:rsidP="005D1AF3">
            <w:pPr>
              <w:rPr>
                <w:rFonts w:cstheme="minorHAnsi"/>
              </w:rPr>
            </w:pPr>
            <w:r w:rsidRPr="005D1AF3">
              <w:rPr>
                <w:rFonts w:cstheme="minorHAnsi"/>
              </w:rPr>
              <w:t xml:space="preserve"> </w:t>
            </w:r>
          </w:p>
          <w:p w14:paraId="4EE268AC" w14:textId="77777777" w:rsidR="00E84394" w:rsidRPr="000451A0" w:rsidRDefault="00E84394" w:rsidP="00E84394">
            <w:pPr>
              <w:pStyle w:val="ListParagraph"/>
              <w:numPr>
                <w:ilvl w:val="0"/>
                <w:numId w:val="2"/>
              </w:numPr>
              <w:rPr>
                <w:rFonts w:cstheme="minorHAnsi"/>
                <w:i/>
              </w:rPr>
            </w:pPr>
            <w:r w:rsidRPr="000451A0">
              <w:rPr>
                <w:rFonts w:cstheme="minorHAnsi"/>
                <w:i/>
                <w:color w:val="000000"/>
              </w:rPr>
              <w:t>Please insert number of expected hours per week (</w:t>
            </w:r>
            <w:r w:rsidRPr="000451A0">
              <w:rPr>
                <w:rFonts w:cstheme="minorHAnsi"/>
                <w:i/>
              </w:rPr>
              <w:t>minimum 20, max 36)</w:t>
            </w:r>
          </w:p>
          <w:p w14:paraId="5ED66447" w14:textId="3F2B70DF" w:rsidR="005D1AF3" w:rsidRPr="0098001A" w:rsidRDefault="003C2820" w:rsidP="00E84394">
            <w:pPr>
              <w:pStyle w:val="ListParagraph"/>
              <w:numPr>
                <w:ilvl w:val="0"/>
                <w:numId w:val="2"/>
              </w:numPr>
              <w:rPr>
                <w:rFonts w:cstheme="minorHAnsi"/>
                <w:iCs/>
              </w:rPr>
            </w:pPr>
            <w:r>
              <w:rPr>
                <w:rFonts w:cstheme="minorHAnsi"/>
                <w:iCs/>
              </w:rPr>
              <w:t>20 hours x 5 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544F60E5" w14:textId="557FBBF5" w:rsidR="004175CE" w:rsidRPr="00941E04" w:rsidRDefault="003C2820" w:rsidP="00572718">
            <w:pPr>
              <w:rPr>
                <w:rFonts w:cstheme="minorHAnsi"/>
                <w:color w:val="000000"/>
              </w:rPr>
            </w:pPr>
            <w:r>
              <w:rPr>
                <w:rFonts w:cstheme="minorHAnsi"/>
              </w:rPr>
              <w:t xml:space="preserve">Note – this is a collaborative project conducted as part of a larger team. </w:t>
            </w:r>
          </w:p>
          <w:p w14:paraId="04452004" w14:textId="77777777" w:rsidR="004175CE" w:rsidRDefault="004175CE" w:rsidP="00572718">
            <w:pPr>
              <w:rPr>
                <w:rFonts w:cstheme="minorHAnsi"/>
                <w:i/>
                <w:color w:val="000000"/>
              </w:rPr>
            </w:pPr>
          </w:p>
          <w:p w14:paraId="1BB7A8F8" w14:textId="11B86CD4" w:rsidR="003C2820" w:rsidRDefault="003C2820" w:rsidP="003C2820">
            <w:pPr>
              <w:spacing w:after="120"/>
              <w:rPr>
                <w:bCs/>
              </w:rPr>
            </w:pPr>
            <w:r>
              <w:rPr>
                <w:color w:val="000000"/>
              </w:rPr>
              <w:t xml:space="preserve">Social psychologists have long suggested a simple solution to racism: interracial contact. Hundreds of studies show that for majority group members, positive contact with members of different minority groups improves attitudes towards them </w:t>
            </w:r>
            <w:r>
              <w:rPr>
                <w:noProof/>
                <w:color w:val="000000"/>
              </w:rPr>
              <w:t>(Pettigrew &amp; Tropp, 2006)</w:t>
            </w:r>
            <w:r>
              <w:rPr>
                <w:color w:val="000000"/>
              </w:rPr>
              <w:t xml:space="preserve">. </w:t>
            </w:r>
            <w:r w:rsidRPr="00B7479F">
              <w:rPr>
                <w:b/>
                <w:bCs/>
                <w:color w:val="000000"/>
              </w:rPr>
              <w:t xml:space="preserve">The </w:t>
            </w:r>
            <w:r>
              <w:rPr>
                <w:b/>
                <w:bCs/>
                <w:color w:val="000000"/>
              </w:rPr>
              <w:t xml:space="preserve">bulk of the literature, however, has overlooked how interracial interactions might be experienced by, and affect, minority group members </w:t>
            </w:r>
            <w:r w:rsidRPr="006465A2">
              <w:rPr>
                <w:bCs/>
                <w:noProof/>
              </w:rPr>
              <w:t>(for commentary see Dixon, Durrheim, &amp; Tredoux, 2005; Tropp &amp; Pettigrew, 2005)</w:t>
            </w:r>
            <w:r>
              <w:rPr>
                <w:bCs/>
              </w:rPr>
              <w:t xml:space="preserve">. For contact to be a viable anti-racism intervention, it must also be beneficial, or at least benign, for minority group members. We suggest that minority group members are keenly aware that the contact they have with majority group members will impact how their entire group is seen. </w:t>
            </w:r>
            <w:r w:rsidRPr="00FD69F7">
              <w:rPr>
                <w:b/>
                <w:bCs/>
              </w:rPr>
              <w:t xml:space="preserve">In the current proposal we </w:t>
            </w:r>
            <w:r>
              <w:rPr>
                <w:b/>
                <w:bCs/>
              </w:rPr>
              <w:t>test the novel proposition that</w:t>
            </w:r>
            <w:r>
              <w:rPr>
                <w:bCs/>
              </w:rPr>
              <w:t xml:space="preserve"> because of this, intergroup contact is sometimes </w:t>
            </w:r>
            <w:r>
              <w:rPr>
                <w:bCs/>
                <w:i/>
              </w:rPr>
              <w:t xml:space="preserve">not </w:t>
            </w:r>
            <w:r>
              <w:rPr>
                <w:bCs/>
              </w:rPr>
              <w:t>benign</w:t>
            </w:r>
            <w:r w:rsidRPr="00FD69F7">
              <w:rPr>
                <w:bCs/>
              </w:rPr>
              <w:t xml:space="preserve">, </w:t>
            </w:r>
            <w:r>
              <w:rPr>
                <w:bCs/>
              </w:rPr>
              <w:t xml:space="preserve">and instead </w:t>
            </w:r>
            <w:r w:rsidRPr="00FD69F7">
              <w:rPr>
                <w:b/>
                <w:bCs/>
              </w:rPr>
              <w:t>the pressure to curate positive contact experiences for majority group members can lead to minority burnout, exhaustion, and self-segregation</w:t>
            </w:r>
            <w:r>
              <w:rPr>
                <w:bCs/>
              </w:rPr>
              <w:t>. We aim to:</w:t>
            </w:r>
          </w:p>
          <w:p w14:paraId="6FDA0590" w14:textId="77777777" w:rsidR="003C2820" w:rsidRDefault="003C2820" w:rsidP="003C2820">
            <w:pPr>
              <w:ind w:firstLine="720"/>
              <w:rPr>
                <w:bCs/>
              </w:rPr>
            </w:pPr>
            <w:r>
              <w:rPr>
                <w:bCs/>
              </w:rPr>
              <w:t xml:space="preserve">(1) build on the nascent literature on minority perspectives of </w:t>
            </w:r>
            <w:proofErr w:type="gramStart"/>
            <w:r>
              <w:rPr>
                <w:bCs/>
              </w:rPr>
              <w:t>contact;</w:t>
            </w:r>
            <w:proofErr w:type="gramEnd"/>
            <w:r>
              <w:rPr>
                <w:bCs/>
              </w:rPr>
              <w:t xml:space="preserve"> </w:t>
            </w:r>
          </w:p>
          <w:p w14:paraId="1A144C7E" w14:textId="77777777" w:rsidR="003C2820" w:rsidRDefault="003C2820" w:rsidP="003C2820">
            <w:pPr>
              <w:ind w:left="720"/>
              <w:rPr>
                <w:bCs/>
              </w:rPr>
            </w:pPr>
            <w:r>
              <w:rPr>
                <w:bCs/>
              </w:rPr>
              <w:t>(2) document the personal, social, and societal impact of feeling pressured to “perform” positive contact</w:t>
            </w:r>
          </w:p>
          <w:p w14:paraId="292AEF8B" w14:textId="30D21CAC" w:rsidR="00FA2569" w:rsidRPr="003C2820" w:rsidRDefault="003C2820" w:rsidP="003C2820">
            <w:pPr>
              <w:spacing w:after="120"/>
              <w:ind w:firstLine="720"/>
              <w:rPr>
                <w:bCs/>
              </w:rPr>
            </w:pPr>
            <w:r>
              <w:rPr>
                <w:bCs/>
              </w:rPr>
              <w:t>(3) tie together contact, social identity, emotional labour, and acculturation perspectives to understand when and why contact benefits vs damages minority group well-being</w:t>
            </w: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6DC786E6" w14:textId="6EDADFE4" w:rsidR="00FA2569" w:rsidRPr="00B63784" w:rsidRDefault="003C2820" w:rsidP="00D61347">
            <w:pPr>
              <w:rPr>
                <w:rFonts w:cstheme="minorHAnsi"/>
                <w:iCs/>
                <w:color w:val="000000"/>
              </w:rPr>
            </w:pPr>
            <w:r w:rsidRPr="00B63784">
              <w:rPr>
                <w:rFonts w:cstheme="minorHAnsi"/>
                <w:iCs/>
                <w:color w:val="000000"/>
              </w:rPr>
              <w:t>Students will work on a literature review and ethics application, and ideally have the opportunity to collect data. A literature review and oral presentation will also be expected.</w:t>
            </w:r>
          </w:p>
          <w:p w14:paraId="1A8F0ED5" w14:textId="77777777" w:rsidR="00FA2569" w:rsidRPr="00454FF1" w:rsidRDefault="00FA2569" w:rsidP="00D61347">
            <w:pPr>
              <w:rPr>
                <w:rFonts w:cstheme="minorHAnsi"/>
                <w:i/>
              </w:rPr>
            </w:pPr>
          </w:p>
        </w:tc>
      </w:tr>
      <w:tr w:rsidR="00FA2569" w:rsidRPr="00454FF1" w14:paraId="69AD3201" w14:textId="77777777" w:rsidTr="006C63DB">
        <w:trPr>
          <w:trHeight w:val="1676"/>
        </w:trPr>
        <w:tc>
          <w:tcPr>
            <w:tcW w:w="1872" w:type="dxa"/>
            <w:shd w:val="clear" w:color="auto" w:fill="F2F2F2" w:themeFill="background1" w:themeFillShade="F2"/>
          </w:tcPr>
          <w:p w14:paraId="04AFB987" w14:textId="77777777" w:rsidR="00FA2569" w:rsidRPr="00B63784" w:rsidRDefault="00FA2569" w:rsidP="00D61347">
            <w:pPr>
              <w:rPr>
                <w:rFonts w:cstheme="minorHAnsi"/>
                <w:b/>
              </w:rPr>
            </w:pPr>
            <w:r w:rsidRPr="00B63784">
              <w:rPr>
                <w:rFonts w:cstheme="minorHAnsi"/>
                <w:b/>
              </w:rPr>
              <w:t>Suitable for:</w:t>
            </w:r>
          </w:p>
        </w:tc>
        <w:tc>
          <w:tcPr>
            <w:tcW w:w="7513" w:type="dxa"/>
          </w:tcPr>
          <w:p w14:paraId="7BDD3F9A" w14:textId="210555B0" w:rsidR="00FA2569" w:rsidRPr="00B63784" w:rsidRDefault="003C2820" w:rsidP="00D61347">
            <w:pPr>
              <w:rPr>
                <w:rFonts w:cstheme="minorHAnsi"/>
                <w:color w:val="000000"/>
              </w:rPr>
            </w:pPr>
            <w:r w:rsidRPr="00B63784">
              <w:rPr>
                <w:rFonts w:cstheme="minorHAnsi"/>
                <w:color w:val="000000"/>
              </w:rPr>
              <w:t xml:space="preserve">Someone with a keen interest in racism/prejudice research. Someone who is interested in learning how to do literature </w:t>
            </w:r>
            <w:proofErr w:type="gramStart"/>
            <w:r w:rsidRPr="00B63784">
              <w:rPr>
                <w:rFonts w:cstheme="minorHAnsi"/>
                <w:color w:val="000000"/>
              </w:rPr>
              <w:t>reviews, and</w:t>
            </w:r>
            <w:proofErr w:type="gramEnd"/>
            <w:r w:rsidRPr="00B63784">
              <w:rPr>
                <w:rFonts w:cstheme="minorHAnsi"/>
                <w:color w:val="000000"/>
              </w:rPr>
              <w:t xml:space="preserve"> is open for a challenge. </w:t>
            </w:r>
          </w:p>
          <w:p w14:paraId="64B50EB6" w14:textId="11024ACA" w:rsidR="003C2820" w:rsidRPr="00B63784" w:rsidRDefault="003C2820" w:rsidP="00D61347">
            <w:pPr>
              <w:rPr>
                <w:rFonts w:cstheme="minorHAnsi"/>
                <w:color w:val="000000"/>
              </w:rPr>
            </w:pPr>
          </w:p>
          <w:p w14:paraId="1FFBE5BA" w14:textId="457B3548" w:rsidR="003C2820" w:rsidRPr="00B63784" w:rsidRDefault="003C2820" w:rsidP="00D61347">
            <w:pPr>
              <w:rPr>
                <w:rFonts w:cstheme="minorHAnsi"/>
                <w:color w:val="000000"/>
              </w:rPr>
            </w:pPr>
            <w:r w:rsidRPr="00B63784">
              <w:rPr>
                <w:rFonts w:cstheme="minorHAnsi"/>
                <w:color w:val="000000"/>
              </w:rPr>
              <w:t>Ideally someone in 2-3</w:t>
            </w:r>
            <w:r w:rsidRPr="00B63784">
              <w:rPr>
                <w:rFonts w:cstheme="minorHAnsi"/>
                <w:color w:val="000000"/>
                <w:vertAlign w:val="superscript"/>
              </w:rPr>
              <w:t>rd</w:t>
            </w:r>
            <w:r w:rsidRPr="00B63784">
              <w:rPr>
                <w:rFonts w:cstheme="minorHAnsi"/>
                <w:color w:val="000000"/>
              </w:rPr>
              <w:t xml:space="preserve"> year, as stats skills will be needed. </w:t>
            </w:r>
          </w:p>
          <w:p w14:paraId="71DDEBD5" w14:textId="77777777" w:rsidR="00FA2569" w:rsidRPr="00B63784" w:rsidRDefault="00FA2569" w:rsidP="00D61347">
            <w:pPr>
              <w:rPr>
                <w:rFonts w:cstheme="minorHAnsi"/>
              </w:rPr>
            </w:pP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349DA281" w:rsidR="00FA2569" w:rsidRPr="00941E04" w:rsidRDefault="003C2820" w:rsidP="00FA2569">
            <w:pPr>
              <w:rPr>
                <w:rFonts w:cstheme="minorHAnsi"/>
              </w:rPr>
            </w:pPr>
            <w:r>
              <w:rPr>
                <w:rFonts w:cstheme="minorHAnsi"/>
              </w:rPr>
              <w:t>Associate Professor Fiona Barlow</w:t>
            </w:r>
          </w:p>
          <w:p w14:paraId="3A288484" w14:textId="77777777" w:rsidR="00FA2569" w:rsidRPr="00454FF1" w:rsidRDefault="00FA2569" w:rsidP="00FA2569">
            <w:pPr>
              <w:rPr>
                <w:rFonts w:cstheme="minorHAnsi"/>
                <w: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03149299" w14:textId="451F3BED" w:rsidR="00941E04" w:rsidRPr="00941E04" w:rsidRDefault="003C2820" w:rsidP="00B63784">
            <w:pPr>
              <w:rPr>
                <w:rFonts w:cstheme="minorHAnsi"/>
              </w:rPr>
            </w:pPr>
            <w:r>
              <w:rPr>
                <w:rFonts w:cstheme="minorHAnsi"/>
              </w:rPr>
              <w:t xml:space="preserve">Fiona Barlow: </w:t>
            </w:r>
            <w:hyperlink r:id="rId7" w:history="1">
              <w:r w:rsidRPr="00062678">
                <w:rPr>
                  <w:rStyle w:val="Hyperlink"/>
                  <w:rFonts w:cstheme="minorHAnsi"/>
                </w:rPr>
                <w:t>f.barlow@psy.uq.edu.au</w:t>
              </w:r>
            </w:hyperlink>
            <w:r>
              <w:rPr>
                <w:rFonts w:cstheme="minorHAnsi"/>
              </w:rPr>
              <w:t xml:space="preserve"> </w:t>
            </w: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2574" w14:textId="77777777" w:rsidR="005B0F42" w:rsidRDefault="005B0F42" w:rsidP="00E84394">
      <w:r>
        <w:separator/>
      </w:r>
    </w:p>
  </w:endnote>
  <w:endnote w:type="continuationSeparator" w:id="0">
    <w:p w14:paraId="29F1D0E1" w14:textId="77777777" w:rsidR="005B0F42" w:rsidRDefault="005B0F42"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F729" w14:textId="77777777" w:rsidR="005B0F42" w:rsidRDefault="005B0F42" w:rsidP="00E84394">
      <w:r>
        <w:separator/>
      </w:r>
    </w:p>
  </w:footnote>
  <w:footnote w:type="continuationSeparator" w:id="0">
    <w:p w14:paraId="0C4EBEC2" w14:textId="77777777" w:rsidR="005B0F42" w:rsidRDefault="005B0F42"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B5D9F"/>
    <w:rsid w:val="001C1584"/>
    <w:rsid w:val="003570F0"/>
    <w:rsid w:val="003C2820"/>
    <w:rsid w:val="0040764F"/>
    <w:rsid w:val="004175CE"/>
    <w:rsid w:val="00454FF1"/>
    <w:rsid w:val="004C1625"/>
    <w:rsid w:val="00502FC5"/>
    <w:rsid w:val="00572429"/>
    <w:rsid w:val="005B0F42"/>
    <w:rsid w:val="005D1AF3"/>
    <w:rsid w:val="006C63DB"/>
    <w:rsid w:val="00941E04"/>
    <w:rsid w:val="0098001A"/>
    <w:rsid w:val="00A54AF7"/>
    <w:rsid w:val="00A85667"/>
    <w:rsid w:val="00B04E7F"/>
    <w:rsid w:val="00B63784"/>
    <w:rsid w:val="00BA289F"/>
    <w:rsid w:val="00C20DAA"/>
    <w:rsid w:val="00C736FA"/>
    <w:rsid w:val="00D61347"/>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arlow@ps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2021-01-18T07:41:00Z</dcterms:created>
  <dcterms:modified xsi:type="dcterms:W3CDTF">2021-01-19T00:48:00Z</dcterms:modified>
</cp:coreProperties>
</file>