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Pr="00FB35C8" w:rsidRDefault="00B128CD" w:rsidP="0022538A">
      <w:pPr>
        <w:jc w:val="center"/>
        <w:rPr>
          <w:rFonts w:cstheme="minorHAnsi"/>
          <w:b/>
          <w:color w:val="000000"/>
          <w:sz w:val="32"/>
        </w:rPr>
      </w:pPr>
      <w:r w:rsidRPr="00FB35C8">
        <w:rPr>
          <w:rFonts w:cstheme="minorHAnsi"/>
          <w:b/>
          <w:color w:val="000000"/>
          <w:sz w:val="32"/>
        </w:rPr>
        <w:t>2019</w:t>
      </w:r>
      <w:r w:rsidR="00147250" w:rsidRPr="00FB35C8">
        <w:rPr>
          <w:rFonts w:cstheme="minorHAnsi"/>
          <w:b/>
          <w:color w:val="000000"/>
          <w:sz w:val="32"/>
        </w:rPr>
        <w:t>-2020</w:t>
      </w:r>
      <w:r w:rsidR="0022538A" w:rsidRPr="00FB35C8">
        <w:rPr>
          <w:rFonts w:cstheme="minorHAnsi"/>
          <w:b/>
          <w:color w:val="000000"/>
          <w:sz w:val="32"/>
        </w:rPr>
        <w:t xml:space="preserve"> </w:t>
      </w:r>
      <w:r w:rsidR="00E337BF" w:rsidRPr="00FB35C8">
        <w:rPr>
          <w:rFonts w:cstheme="minorHAnsi"/>
          <w:b/>
          <w:color w:val="000000"/>
          <w:sz w:val="32"/>
        </w:rPr>
        <w:t>Psychology</w:t>
      </w:r>
      <w:r w:rsidR="0022538A" w:rsidRPr="00FB35C8">
        <w:rPr>
          <w:rFonts w:cstheme="minorHAnsi"/>
          <w:b/>
          <w:color w:val="000000"/>
          <w:sz w:val="32"/>
        </w:rPr>
        <w:t xml:space="preserve"> </w:t>
      </w:r>
      <w:r w:rsidR="00D61347" w:rsidRPr="00FB35C8">
        <w:rPr>
          <w:rFonts w:cstheme="minorHAnsi"/>
          <w:b/>
          <w:color w:val="000000"/>
          <w:sz w:val="32"/>
        </w:rPr>
        <w:t xml:space="preserve">UQ </w:t>
      </w:r>
      <w:r w:rsidR="00147250" w:rsidRPr="00FB35C8">
        <w:rPr>
          <w:rFonts w:cstheme="minorHAnsi"/>
          <w:b/>
          <w:color w:val="000000"/>
          <w:sz w:val="32"/>
        </w:rPr>
        <w:t>Summer</w:t>
      </w:r>
      <w:r w:rsidR="00D61347" w:rsidRPr="00FB35C8">
        <w:rPr>
          <w:rFonts w:cstheme="minorHAnsi"/>
          <w:b/>
          <w:color w:val="000000"/>
          <w:sz w:val="32"/>
        </w:rPr>
        <w:t xml:space="preserve"> Research Project Description</w:t>
      </w:r>
    </w:p>
    <w:p w:rsidR="00E337BF" w:rsidRPr="00FB35C8" w:rsidRDefault="00E337BF" w:rsidP="00A54AF7">
      <w:pPr>
        <w:rPr>
          <w:rFonts w:cstheme="minorHAnsi"/>
          <w:color w:val="000000"/>
          <w:sz w:val="24"/>
        </w:rPr>
      </w:pPr>
    </w:p>
    <w:p w:rsidR="00E337BF" w:rsidRPr="00FB35C8" w:rsidRDefault="00E337BF" w:rsidP="00A54AF7">
      <w:pPr>
        <w:rPr>
          <w:rFonts w:cstheme="minorHAnsi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FB35C8" w:rsidTr="00B128CD">
        <w:tc>
          <w:tcPr>
            <w:tcW w:w="1950" w:type="dxa"/>
            <w:shd w:val="clear" w:color="auto" w:fill="F2F2F2" w:themeFill="background1" w:themeFillShade="F2"/>
          </w:tcPr>
          <w:p w:rsidR="00D61347" w:rsidRPr="00FB35C8" w:rsidRDefault="00D61347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color w:val="000000"/>
                <w:sz w:val="24"/>
                <w:szCs w:val="24"/>
              </w:rPr>
              <w:t>Project title:</w:t>
            </w:r>
            <w:r w:rsidRPr="00FB35C8">
              <w:rPr>
                <w:rStyle w:val="apple-converted-space"/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FB35C8" w:rsidRDefault="00326B17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An investigation into the role of testosterone in understanding age effects in social cognition </w:t>
            </w:r>
          </w:p>
        </w:tc>
      </w:tr>
      <w:tr w:rsidR="00FA2569" w:rsidRPr="00FB35C8" w:rsidTr="00B128CD">
        <w:tc>
          <w:tcPr>
            <w:tcW w:w="1950" w:type="dxa"/>
            <w:shd w:val="clear" w:color="auto" w:fill="F2F2F2" w:themeFill="background1" w:themeFillShade="F2"/>
          </w:tcPr>
          <w:p w:rsidR="00212F25" w:rsidRPr="00FB35C8" w:rsidRDefault="00FA2569" w:rsidP="0015100D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sz w:val="24"/>
                <w:szCs w:val="24"/>
              </w:rPr>
              <w:t>Project duration:</w:t>
            </w:r>
          </w:p>
        </w:tc>
        <w:tc>
          <w:tcPr>
            <w:tcW w:w="6958" w:type="dxa"/>
          </w:tcPr>
          <w:p w:rsidR="00FA2569" w:rsidRPr="00FB35C8" w:rsidRDefault="00111AF9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B35C8">
              <w:rPr>
                <w:rFonts w:cstheme="minorHAnsi"/>
                <w:sz w:val="24"/>
                <w:szCs w:val="24"/>
              </w:rPr>
              <w:t>8 weeks</w:t>
            </w:r>
          </w:p>
          <w:p w:rsidR="00212F25" w:rsidRPr="00FB35C8" w:rsidRDefault="00111AF9" w:rsidP="00D664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4"/>
              </w:rPr>
            </w:pPr>
            <w:r w:rsidRPr="00FB35C8">
              <w:rPr>
                <w:rFonts w:cstheme="minorHAnsi"/>
                <w:color w:val="000000"/>
                <w:sz w:val="24"/>
                <w:szCs w:val="24"/>
              </w:rPr>
              <w:t>28 hours a week on average</w:t>
            </w:r>
          </w:p>
        </w:tc>
      </w:tr>
      <w:tr w:rsidR="0015100D" w:rsidRPr="00FB35C8" w:rsidTr="00B128CD">
        <w:tc>
          <w:tcPr>
            <w:tcW w:w="1950" w:type="dxa"/>
            <w:shd w:val="clear" w:color="auto" w:fill="F2F2F2" w:themeFill="background1" w:themeFillShade="F2"/>
          </w:tcPr>
          <w:p w:rsidR="0015100D" w:rsidRPr="00FB35C8" w:rsidRDefault="0015100D" w:rsidP="0015100D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sz w:val="24"/>
                <w:szCs w:val="24"/>
              </w:rPr>
              <w:t>Position/s available</w:t>
            </w:r>
          </w:p>
        </w:tc>
        <w:tc>
          <w:tcPr>
            <w:tcW w:w="6958" w:type="dxa"/>
          </w:tcPr>
          <w:p w:rsidR="0015100D" w:rsidRPr="00FB35C8" w:rsidRDefault="00326B17" w:rsidP="00484577">
            <w:pPr>
              <w:rPr>
                <w:rFonts w:cstheme="minorHAnsi"/>
                <w:sz w:val="24"/>
                <w:szCs w:val="24"/>
              </w:rPr>
            </w:pPr>
            <w:r w:rsidRPr="00FB35C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569" w:rsidRPr="00FB35C8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FB35C8" w:rsidRDefault="00FA2569" w:rsidP="00572718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6958" w:type="dxa"/>
          </w:tcPr>
          <w:p w:rsidR="00FA2569" w:rsidRPr="00FB35C8" w:rsidRDefault="00427E5D" w:rsidP="00427E5D">
            <w:pPr>
              <w:spacing w:before="100" w:beforeAutospacing="1" w:after="100" w:afterAutospacing="1"/>
              <w:rPr>
                <w:rFonts w:cstheme="minorHAnsi"/>
                <w:i/>
                <w:sz w:val="24"/>
                <w:szCs w:val="24"/>
              </w:rPr>
            </w:pPr>
            <w:r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Social cognition broadly refers to how we process social information, and is therefore a critically important predictor of wellbeing, social functioning and mental health. </w:t>
            </w:r>
            <w:r w:rsidR="00932E26"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Testosterone (T) is sex hormone that has previously been shown to have a negative impact on social cognitive functioning in younger adults. </w:t>
            </w:r>
            <w:r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Interestingly, </w:t>
            </w:r>
            <w:r w:rsidR="00932E26"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both social cognitive abilities and T ar</w:t>
            </w:r>
            <w:r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 known to decline in older age. T</w:t>
            </w:r>
            <w:r w:rsidR="00932E26"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his project will provide the first investigation into the relationship between T and social cognition in late adulthood. The applicant will be asked to obtain a salivary T sample from younger and older adults, </w:t>
            </w:r>
            <w:r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as well as</w:t>
            </w:r>
            <w:r w:rsidR="00932E26"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administer a well-validated social cognitive assessment. The applicant will therefore learn a range of interesting experimental techniques, as well as biosafety procedures. The applicant will also learn how to effectively recruit participants. The hypotheses are that T will be differentially related to social cognitive function in younger and older adults, and that this relationship </w:t>
            </w:r>
            <w:r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will </w:t>
            </w:r>
            <w:r w:rsidR="00932E26"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in turn be moderated by participant gender. </w:t>
            </w:r>
            <w:r w:rsidRPr="00FB35C8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The results will have important implications for our understanding of potential hormonal influences on social cognitive ageing.</w:t>
            </w:r>
          </w:p>
        </w:tc>
      </w:tr>
      <w:tr w:rsidR="00FA2569" w:rsidRPr="00FB35C8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FB35C8" w:rsidRDefault="004175CE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sz w:val="24"/>
                <w:szCs w:val="24"/>
              </w:rPr>
              <w:t>Expected outcomes and deliverables:</w:t>
            </w:r>
          </w:p>
        </w:tc>
        <w:tc>
          <w:tcPr>
            <w:tcW w:w="6958" w:type="dxa"/>
          </w:tcPr>
          <w:p w:rsidR="00FA2569" w:rsidRPr="00FB35C8" w:rsidRDefault="00932E26" w:rsidP="009C08F8">
            <w:pPr>
              <w:rPr>
                <w:rFonts w:cstheme="minorHAnsi"/>
                <w:i/>
                <w:sz w:val="24"/>
                <w:szCs w:val="24"/>
              </w:rPr>
            </w:pPr>
            <w:r w:rsidRPr="00FB35C8">
              <w:rPr>
                <w:rFonts w:cstheme="minorHAnsi"/>
                <w:color w:val="000000"/>
                <w:sz w:val="24"/>
                <w:szCs w:val="24"/>
              </w:rPr>
              <w:t>As detailed, the applicant will gain skills in participant recruitment, data collection (both cognitive assessmen</w:t>
            </w:r>
            <w:bookmarkStart w:id="0" w:name="_GoBack"/>
            <w:bookmarkEnd w:id="0"/>
            <w:r w:rsidRPr="00FB35C8">
              <w:rPr>
                <w:rFonts w:cstheme="minorHAnsi"/>
                <w:color w:val="000000"/>
                <w:sz w:val="24"/>
                <w:szCs w:val="24"/>
              </w:rPr>
              <w:t xml:space="preserve">ts, and </w:t>
            </w:r>
            <w:proofErr w:type="spellStart"/>
            <w:r w:rsidRPr="00FB35C8">
              <w:rPr>
                <w:rFonts w:cstheme="minorHAnsi"/>
                <w:color w:val="000000"/>
                <w:sz w:val="24"/>
                <w:szCs w:val="24"/>
              </w:rPr>
              <w:t>biospecimens</w:t>
            </w:r>
            <w:proofErr w:type="spellEnd"/>
            <w:r w:rsidRPr="00FB35C8">
              <w:rPr>
                <w:rFonts w:cstheme="minorHAnsi"/>
                <w:color w:val="000000"/>
                <w:sz w:val="24"/>
                <w:szCs w:val="24"/>
              </w:rPr>
              <w:t xml:space="preserve">). </w:t>
            </w:r>
            <w:r w:rsidR="00D6640D" w:rsidRPr="00FB35C8">
              <w:rPr>
                <w:rFonts w:cstheme="minorHAnsi"/>
                <w:color w:val="000000"/>
                <w:sz w:val="24"/>
                <w:szCs w:val="24"/>
              </w:rPr>
              <w:t>There would also potentially be the opportunity</w:t>
            </w:r>
            <w:r w:rsidR="002F0168" w:rsidRPr="00FB35C8">
              <w:rPr>
                <w:rFonts w:cstheme="minorHAnsi"/>
                <w:color w:val="000000"/>
                <w:sz w:val="24"/>
                <w:szCs w:val="24"/>
              </w:rPr>
              <w:t xml:space="preserve"> to be involved</w:t>
            </w:r>
            <w:r w:rsidR="009C08F8" w:rsidRPr="00FB35C8">
              <w:rPr>
                <w:rFonts w:cstheme="minorHAnsi"/>
                <w:color w:val="000000"/>
                <w:sz w:val="24"/>
                <w:szCs w:val="24"/>
              </w:rPr>
              <w:t xml:space="preserve"> in a publication from this dataset.</w:t>
            </w:r>
          </w:p>
        </w:tc>
      </w:tr>
      <w:tr w:rsidR="00FA2569" w:rsidRPr="00FB35C8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FB35C8" w:rsidRDefault="00FA2569" w:rsidP="00D61347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sz w:val="24"/>
                <w:szCs w:val="24"/>
              </w:rPr>
              <w:t>Suitable for:</w:t>
            </w:r>
          </w:p>
        </w:tc>
        <w:tc>
          <w:tcPr>
            <w:tcW w:w="6958" w:type="dxa"/>
          </w:tcPr>
          <w:p w:rsidR="00FA2569" w:rsidRPr="00FB35C8" w:rsidRDefault="00932E26" w:rsidP="00932E26">
            <w:pPr>
              <w:rPr>
                <w:rFonts w:cstheme="minorHAnsi"/>
                <w:i/>
                <w:sz w:val="24"/>
                <w:szCs w:val="24"/>
              </w:rPr>
            </w:pPr>
            <w:r w:rsidRPr="00FB35C8">
              <w:rPr>
                <w:rFonts w:cstheme="minorHAnsi"/>
                <w:color w:val="000000"/>
                <w:sz w:val="24"/>
                <w:szCs w:val="24"/>
              </w:rPr>
              <w:t>We are looking for students with a background in psychology enrolled at UQ, in their third or fourth year of study.</w:t>
            </w:r>
          </w:p>
        </w:tc>
      </w:tr>
      <w:tr w:rsidR="00FA2569" w:rsidRPr="00FB35C8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FB35C8" w:rsidRDefault="00C20DAA" w:rsidP="00572718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sz w:val="24"/>
                <w:szCs w:val="24"/>
              </w:rPr>
              <w:t xml:space="preserve">Primary </w:t>
            </w:r>
            <w:r w:rsidR="00FA2569" w:rsidRPr="00FB35C8">
              <w:rPr>
                <w:rFonts w:cstheme="minorHAnsi"/>
                <w:b/>
                <w:sz w:val="24"/>
                <w:szCs w:val="24"/>
              </w:rPr>
              <w:t>Supervisor:</w:t>
            </w:r>
          </w:p>
          <w:p w:rsidR="00C20DAA" w:rsidRPr="00FB35C8" w:rsidRDefault="00C20DAA" w:rsidP="005727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58" w:type="dxa"/>
          </w:tcPr>
          <w:p w:rsidR="00FA2569" w:rsidRPr="00FB35C8" w:rsidRDefault="00932E26" w:rsidP="00FA25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35C8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FB35C8">
              <w:rPr>
                <w:rFonts w:cstheme="minorHAnsi"/>
                <w:sz w:val="24"/>
                <w:szCs w:val="24"/>
              </w:rPr>
              <w:t xml:space="preserve"> Sarah Grainger and Professor Julie Henry</w:t>
            </w:r>
          </w:p>
          <w:p w:rsidR="00FA2569" w:rsidRPr="00FB35C8" w:rsidRDefault="00FA2569" w:rsidP="00FA2569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2569" w:rsidRPr="00FB35C8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FB35C8" w:rsidRDefault="00FA2569" w:rsidP="00D61347">
            <w:pPr>
              <w:rPr>
                <w:rFonts w:cstheme="minorHAnsi"/>
                <w:b/>
                <w:sz w:val="24"/>
                <w:szCs w:val="24"/>
              </w:rPr>
            </w:pPr>
            <w:r w:rsidRPr="00FB35C8">
              <w:rPr>
                <w:rFonts w:cstheme="minorHAnsi"/>
                <w:b/>
                <w:sz w:val="24"/>
                <w:szCs w:val="24"/>
              </w:rPr>
              <w:t>Further info:</w:t>
            </w:r>
          </w:p>
        </w:tc>
        <w:tc>
          <w:tcPr>
            <w:tcW w:w="6958" w:type="dxa"/>
          </w:tcPr>
          <w:p w:rsidR="00941E04" w:rsidRPr="00FB35C8" w:rsidRDefault="00932E26" w:rsidP="00FA2569">
            <w:pPr>
              <w:rPr>
                <w:rFonts w:cstheme="minorHAnsi"/>
                <w:sz w:val="24"/>
                <w:szCs w:val="24"/>
              </w:rPr>
            </w:pPr>
            <w:r w:rsidRPr="00FB35C8">
              <w:rPr>
                <w:rFonts w:cstheme="minorHAnsi"/>
                <w:sz w:val="24"/>
                <w:szCs w:val="24"/>
              </w:rPr>
              <w:t xml:space="preserve">We are happy for students to contact us prior to making a formal application. Our contact details are: </w:t>
            </w:r>
            <w:hyperlink r:id="rId5" w:history="1">
              <w:r w:rsidRPr="00FB35C8">
                <w:rPr>
                  <w:rStyle w:val="Hyperlink"/>
                  <w:rFonts w:cstheme="minorHAnsi"/>
                  <w:sz w:val="24"/>
                  <w:szCs w:val="24"/>
                </w:rPr>
                <w:t>s.grainger@uq.edu.au</w:t>
              </w:r>
            </w:hyperlink>
            <w:r w:rsidRPr="00FB35C8">
              <w:rPr>
                <w:rFonts w:cstheme="minorHAnsi"/>
                <w:sz w:val="24"/>
                <w:szCs w:val="24"/>
              </w:rPr>
              <w:t xml:space="preserve">, and </w:t>
            </w:r>
            <w:hyperlink r:id="rId6" w:history="1">
              <w:r w:rsidR="00326B17" w:rsidRPr="00FB35C8">
                <w:rPr>
                  <w:rStyle w:val="Hyperlink"/>
                  <w:rFonts w:cstheme="minorHAnsi"/>
                  <w:sz w:val="24"/>
                  <w:szCs w:val="24"/>
                </w:rPr>
                <w:t>julie.henry@uq.edu.au</w:t>
              </w:r>
            </w:hyperlink>
          </w:p>
        </w:tc>
      </w:tr>
    </w:tbl>
    <w:p w:rsidR="00A54AF7" w:rsidRPr="00FB35C8" w:rsidRDefault="00A54AF7">
      <w:pPr>
        <w:rPr>
          <w:rFonts w:cstheme="minorHAnsi"/>
        </w:rPr>
      </w:pPr>
    </w:p>
    <w:sectPr w:rsidR="00A54AF7" w:rsidRPr="00FB35C8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11AF9"/>
    <w:rsid w:val="00147250"/>
    <w:rsid w:val="0015100D"/>
    <w:rsid w:val="00160A87"/>
    <w:rsid w:val="001C1584"/>
    <w:rsid w:val="00212F25"/>
    <w:rsid w:val="0022538A"/>
    <w:rsid w:val="0025714E"/>
    <w:rsid w:val="002F0168"/>
    <w:rsid w:val="00326B17"/>
    <w:rsid w:val="003570F0"/>
    <w:rsid w:val="003B27F3"/>
    <w:rsid w:val="004062FD"/>
    <w:rsid w:val="004175CE"/>
    <w:rsid w:val="00427E5D"/>
    <w:rsid w:val="00454FF1"/>
    <w:rsid w:val="00484577"/>
    <w:rsid w:val="004C1625"/>
    <w:rsid w:val="00502FC5"/>
    <w:rsid w:val="008274CF"/>
    <w:rsid w:val="0089490F"/>
    <w:rsid w:val="00932E26"/>
    <w:rsid w:val="00941E04"/>
    <w:rsid w:val="009C08F8"/>
    <w:rsid w:val="00A54AF7"/>
    <w:rsid w:val="00A85667"/>
    <w:rsid w:val="00B128CD"/>
    <w:rsid w:val="00B82BF2"/>
    <w:rsid w:val="00C20DAA"/>
    <w:rsid w:val="00C736FA"/>
    <w:rsid w:val="00D61347"/>
    <w:rsid w:val="00D6640D"/>
    <w:rsid w:val="00DE1AC9"/>
    <w:rsid w:val="00E337BF"/>
    <w:rsid w:val="00FA2569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B2ED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henry@uq.edu.au" TargetMode="External"/><Relationship Id="rId5" Type="http://schemas.openxmlformats.org/officeDocument/2006/relationships/hyperlink" Target="mailto:s.grainger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6</cp:revision>
  <dcterms:created xsi:type="dcterms:W3CDTF">2019-07-10T03:25:00Z</dcterms:created>
  <dcterms:modified xsi:type="dcterms:W3CDTF">2019-07-29T04:36:00Z</dcterms:modified>
</cp:coreProperties>
</file>