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4F3FDE10" w14:textId="77777777" w:rsidR="005449D4" w:rsidRDefault="005449D4">
            <w:pPr>
              <w:rPr>
                <w:rFonts w:cstheme="minorHAnsi"/>
                <w:b/>
                <w:color w:val="000000"/>
              </w:rPr>
            </w:pPr>
          </w:p>
          <w:p w14:paraId="1C2F0939" w14:textId="0346D401"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36FDCA5C" w14:textId="77777777" w:rsidR="005449D4" w:rsidRDefault="005449D4">
            <w:pPr>
              <w:rPr>
                <w:rStyle w:val="Strong"/>
                <w:rFonts w:cstheme="minorHAnsi"/>
                <w:color w:val="000000"/>
                <w:bdr w:val="none" w:sz="0" w:space="0" w:color="auto" w:frame="1"/>
              </w:rPr>
            </w:pPr>
          </w:p>
          <w:p w14:paraId="5381850E" w14:textId="6036F264" w:rsidR="00D61347" w:rsidRPr="00D70F20" w:rsidRDefault="00FE14C5">
            <w:pPr>
              <w:rPr>
                <w:rStyle w:val="Strong"/>
                <w:rFonts w:cstheme="minorHAnsi"/>
                <w:color w:val="000000"/>
                <w:bdr w:val="none" w:sz="0" w:space="0" w:color="auto" w:frame="1"/>
              </w:rPr>
            </w:pPr>
            <w:r>
              <w:rPr>
                <w:rStyle w:val="Strong"/>
                <w:rFonts w:cstheme="minorHAnsi"/>
                <w:color w:val="000000"/>
                <w:bdr w:val="none" w:sz="0" w:space="0" w:color="auto" w:frame="1"/>
              </w:rPr>
              <w:t>C</w:t>
            </w:r>
            <w:r>
              <w:rPr>
                <w:rStyle w:val="Strong"/>
                <w:color w:val="000000"/>
                <w:bdr w:val="none" w:sz="0" w:space="0" w:color="auto" w:frame="1"/>
              </w:rPr>
              <w:t xml:space="preserve">aught on Camera: Acts of </w:t>
            </w:r>
            <w:r w:rsidR="00D70F20">
              <w:rPr>
                <w:rStyle w:val="Strong"/>
                <w:rFonts w:cstheme="minorHAnsi"/>
                <w:color w:val="000000"/>
                <w:bdr w:val="none" w:sz="0" w:space="0" w:color="auto" w:frame="1"/>
              </w:rPr>
              <w:t xml:space="preserve">Benevolent Ageism </w:t>
            </w:r>
            <w:r>
              <w:rPr>
                <w:rStyle w:val="Strong"/>
                <w:rFonts w:cstheme="minorHAnsi"/>
                <w:color w:val="000000"/>
                <w:bdr w:val="none" w:sz="0" w:space="0" w:color="auto" w:frame="1"/>
              </w:rPr>
              <w:t>on Social</w:t>
            </w:r>
            <w:r w:rsidR="00D70F20">
              <w:rPr>
                <w:rStyle w:val="Strong"/>
                <w:rFonts w:cstheme="minorHAnsi"/>
                <w:color w:val="000000"/>
                <w:bdr w:val="none" w:sz="0" w:space="0" w:color="auto" w:frame="1"/>
              </w:rPr>
              <w:t xml:space="preserve"> Media</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6A165D2C" w14:textId="77777777" w:rsidR="00FE14C5" w:rsidRDefault="00FE14C5" w:rsidP="00572718">
            <w:pPr>
              <w:rPr>
                <w:rFonts w:cstheme="minorHAnsi"/>
                <w:b/>
              </w:rPr>
            </w:pPr>
          </w:p>
          <w:p w14:paraId="4C625896" w14:textId="11F11DF1"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09F4DDE4" w14:textId="77777777" w:rsidR="00FE14C5" w:rsidRDefault="00FE14C5" w:rsidP="00D70F20">
            <w:pPr>
              <w:rPr>
                <w:rFonts w:cstheme="minorHAnsi"/>
              </w:rPr>
            </w:pPr>
          </w:p>
          <w:p w14:paraId="58EDA246" w14:textId="2F772C8D" w:rsidR="00FA2569" w:rsidRDefault="00D70F20" w:rsidP="00D70F20">
            <w:r>
              <w:rPr>
                <w:rFonts w:cstheme="minorHAnsi"/>
              </w:rPr>
              <w:t>T</w:t>
            </w:r>
            <w:r>
              <w:t xml:space="preserve">his project offers the opportunity for a 4-week </w:t>
            </w:r>
            <w:r>
              <w:rPr>
                <w:b/>
                <w:bCs/>
              </w:rPr>
              <w:t>remote</w:t>
            </w:r>
            <w:r>
              <w:t xml:space="preserve"> winter research scholarship. The successful applicant will be expected to complete up to 36 hours/week, with the option for any correspondence with the supervisor to be completed via zoom/email or in person at UQ.</w:t>
            </w:r>
          </w:p>
          <w:p w14:paraId="54E0A7B0" w14:textId="2F54DF7F" w:rsidR="00FE14C5" w:rsidRPr="00D70F20" w:rsidRDefault="00FE14C5" w:rsidP="00D70F20">
            <w:pPr>
              <w:rPr>
                <w:rFonts w:cstheme="minorHAnsi"/>
                <w:b/>
                <w:bCs/>
              </w:rPr>
            </w:pPr>
          </w:p>
        </w:tc>
      </w:tr>
      <w:tr w:rsidR="00FA2569" w:rsidRPr="00454FF1" w14:paraId="77B9C0CB" w14:textId="77777777" w:rsidTr="00FA2569">
        <w:tc>
          <w:tcPr>
            <w:tcW w:w="1985" w:type="dxa"/>
            <w:shd w:val="clear" w:color="auto" w:fill="F2F2F2" w:themeFill="background1" w:themeFillShade="F2"/>
          </w:tcPr>
          <w:p w14:paraId="079EC6C8" w14:textId="77777777" w:rsidR="00FE14C5" w:rsidRDefault="00FE14C5" w:rsidP="00572718">
            <w:pPr>
              <w:rPr>
                <w:rFonts w:cstheme="minorHAnsi"/>
                <w:b/>
                <w:color w:val="000000"/>
              </w:rPr>
            </w:pPr>
          </w:p>
          <w:p w14:paraId="67208ED6" w14:textId="77014AC8" w:rsidR="00FA2569" w:rsidRPr="00454FF1" w:rsidRDefault="00FA2569" w:rsidP="00572718">
            <w:pPr>
              <w:rPr>
                <w:rFonts w:cstheme="minorHAnsi"/>
                <w:b/>
              </w:rPr>
            </w:pPr>
            <w:r w:rsidRPr="00454FF1">
              <w:rPr>
                <w:rFonts w:cstheme="minorHAnsi"/>
                <w:b/>
                <w:color w:val="000000"/>
              </w:rPr>
              <w:t>Description:</w:t>
            </w:r>
          </w:p>
        </w:tc>
        <w:tc>
          <w:tcPr>
            <w:tcW w:w="7149" w:type="dxa"/>
          </w:tcPr>
          <w:p w14:paraId="3D92D4C8" w14:textId="77777777" w:rsidR="00FE14C5" w:rsidRDefault="00FE14C5" w:rsidP="005F245E">
            <w:pPr>
              <w:rPr>
                <w:rFonts w:cstheme="minorHAnsi"/>
              </w:rPr>
            </w:pPr>
          </w:p>
          <w:p w14:paraId="58037D53" w14:textId="713C9E53" w:rsidR="005F245E" w:rsidRDefault="005F245E" w:rsidP="005F245E">
            <w:pPr>
              <w:rPr>
                <w:rFonts w:cstheme="minorHAnsi"/>
              </w:rPr>
            </w:pPr>
            <w:r w:rsidRPr="005F245E">
              <w:rPr>
                <w:rFonts w:cstheme="minorHAnsi"/>
              </w:rPr>
              <w:t xml:space="preserve">Relative to hostile forms of ageism, benevolent ageism can be difficult to recognise as it can present subtly, and be characterized not only by condescension, but warmth and kindness. </w:t>
            </w:r>
            <w:r>
              <w:rPr>
                <w:rFonts w:cstheme="minorHAnsi"/>
              </w:rPr>
              <w:t>Examples of benevolent ageism include</w:t>
            </w:r>
            <w:r w:rsidRPr="005F245E">
              <w:rPr>
                <w:rFonts w:cstheme="minorHAnsi"/>
              </w:rPr>
              <w:t xml:space="preserve"> </w:t>
            </w:r>
            <w:r>
              <w:rPr>
                <w:rFonts w:cstheme="minorHAnsi"/>
              </w:rPr>
              <w:t>using</w:t>
            </w:r>
            <w:r w:rsidRPr="005F245E">
              <w:rPr>
                <w:rFonts w:cstheme="minorHAnsi"/>
              </w:rPr>
              <w:t xml:space="preserve"> pet names or baby talk to address older people; </w:t>
            </w:r>
            <w:r>
              <w:rPr>
                <w:rFonts w:cstheme="minorHAnsi"/>
              </w:rPr>
              <w:t>emphasising</w:t>
            </w:r>
            <w:r w:rsidRPr="005F245E">
              <w:rPr>
                <w:rFonts w:cstheme="minorHAnsi"/>
              </w:rPr>
              <w:t xml:space="preserve"> pity</w:t>
            </w:r>
            <w:r>
              <w:rPr>
                <w:rFonts w:cstheme="minorHAnsi"/>
              </w:rPr>
              <w:t xml:space="preserve"> for</w:t>
            </w:r>
            <w:r w:rsidRPr="005F245E">
              <w:rPr>
                <w:rFonts w:cstheme="minorHAnsi"/>
              </w:rPr>
              <w:t> people above a certain age; or the importance placed on “protecting” older people during the COVID pandemic.</w:t>
            </w:r>
            <w:r>
              <w:rPr>
                <w:rFonts w:cstheme="minorHAnsi"/>
              </w:rPr>
              <w:t xml:space="preserve"> </w:t>
            </w:r>
          </w:p>
          <w:p w14:paraId="2818AB19" w14:textId="77777777" w:rsidR="005F245E" w:rsidRDefault="005F245E" w:rsidP="005F245E">
            <w:pPr>
              <w:rPr>
                <w:rFonts w:cstheme="minorHAnsi"/>
              </w:rPr>
            </w:pPr>
          </w:p>
          <w:p w14:paraId="593215B8" w14:textId="18EBC607" w:rsidR="005F245E" w:rsidRPr="005F245E" w:rsidRDefault="005F245E" w:rsidP="005F245E">
            <w:pPr>
              <w:rPr>
                <w:rFonts w:cstheme="minorHAnsi"/>
              </w:rPr>
            </w:pPr>
            <w:r w:rsidRPr="005F245E">
              <w:rPr>
                <w:rFonts w:cstheme="minorHAnsi"/>
              </w:rPr>
              <w:t xml:space="preserve">There have also been very different views about how acts of benevolent ageism, once recognised as such, should be responded to. For instance, while one recent study highlighted the need to “confront’ acts of benevolent ageism to reduce the likelihood of future biased behaviours </w:t>
            </w:r>
            <w:r w:rsidRPr="005F245E">
              <w:rPr>
                <w:rFonts w:cstheme="minorHAnsi"/>
              </w:rPr>
              <w:fldChar w:fldCharType="begin"/>
            </w:r>
            <w:r w:rsidRPr="005F245E">
              <w:rPr>
                <w:rFonts w:cstheme="minorHAnsi"/>
              </w:rPr>
              <w:instrText xml:space="preserve"> ADDIN EN.CITE &lt;EndNote&gt;&lt;Cite ExcludeYear="1"&gt;&lt;Author&gt;Chasteen&lt;/Author&gt;&lt;RecNum&gt;541&lt;/RecNum&gt;&lt;DisplayText&gt;(Chasteen et al.)&lt;/DisplayText&gt;&lt;record&gt;&lt;rec-number&gt;541&lt;/rec-number&gt;&lt;foreign-keys&gt;&lt;key app="EN" db-id="e52tdd0aap9eddeasazvtz2wasppesapaevp" timestamp="1739405212"&gt;541&lt;/key&gt;&lt;/foreign-keys&gt;&lt;ref-type name="Book"&gt;6&lt;/ref-type&gt;&lt;contributors&gt;&lt;authors&gt;&lt;author&gt;Chasteen, A.&lt;/author&gt;&lt;author&gt;Saleem, Z.&lt;/author&gt;&lt;author&gt;Horhota, M.&lt;/author&gt;&lt;/authors&gt;&lt;/contributors&gt;&lt;titles&gt;&lt;title&gt;Reactions to Perpetrators of Benevolent Ageism: What Influences Perceptions?&lt;/title&gt;&lt;/titles&gt;&lt;dates&gt;&lt;/dates&gt;&lt;publisher&gt;Innov Aging. 2023 Dec 21;7(Suppl 1):63. doi: 10.1093/geroni/igad104.0201. eCollection 2023 Dec.&lt;/publisher&gt;&lt;isbn&gt;2399-5300 (Electronic)&lt;/isbn&gt;&lt;urls&gt;&lt;/urls&gt;&lt;/record&gt;&lt;/Cite&gt;&lt;/EndNote&gt;</w:instrText>
            </w:r>
            <w:r w:rsidRPr="005F245E">
              <w:rPr>
                <w:rFonts w:cstheme="minorHAnsi"/>
              </w:rPr>
              <w:fldChar w:fldCharType="separate"/>
            </w:r>
            <w:r w:rsidRPr="005F245E">
              <w:rPr>
                <w:rFonts w:cstheme="minorHAnsi"/>
              </w:rPr>
              <w:t>(Chasteen et al.)</w:t>
            </w:r>
            <w:r w:rsidRPr="005F245E">
              <w:rPr>
                <w:rFonts w:cstheme="minorHAnsi"/>
              </w:rPr>
              <w:fldChar w:fldCharType="end"/>
            </w:r>
            <w:r w:rsidRPr="005F245E">
              <w:rPr>
                <w:rFonts w:cstheme="minorHAnsi"/>
              </w:rPr>
              <w:t>, another revealed that there might be potential societal benefits of benevolent ageism, as it was associated with increased prosocial (helping) behaviour towards older people</w:t>
            </w:r>
            <w:r>
              <w:rPr>
                <w:rFonts w:cstheme="minorHAnsi"/>
              </w:rPr>
              <w:t xml:space="preserve"> (Ma et al., 2024).</w:t>
            </w:r>
            <w:r w:rsidRPr="005F245E">
              <w:rPr>
                <w:rFonts w:cstheme="minorHAnsi"/>
                <w:u w:val="single"/>
              </w:rPr>
              <w:t xml:space="preserve"> </w:t>
            </w:r>
          </w:p>
          <w:p w14:paraId="71781626" w14:textId="77777777" w:rsidR="005F245E" w:rsidRPr="005F245E" w:rsidRDefault="005F245E" w:rsidP="005F245E">
            <w:pPr>
              <w:rPr>
                <w:rFonts w:cstheme="minorHAnsi"/>
              </w:rPr>
            </w:pPr>
          </w:p>
          <w:p w14:paraId="48257ECD" w14:textId="77777777" w:rsidR="005F245E" w:rsidRPr="005F245E" w:rsidRDefault="005F245E" w:rsidP="005F245E">
            <w:pPr>
              <w:rPr>
                <w:rFonts w:cstheme="minorHAnsi"/>
              </w:rPr>
            </w:pPr>
            <w:r w:rsidRPr="005F245E">
              <w:rPr>
                <w:rFonts w:cstheme="minorHAnsi"/>
              </w:rPr>
              <w:t>The broad aims of this study were therefore to better understand whether the behaviours younger people recognise as indicative of benevolent ageism are also regarded as such by older people themselves, as well as the degree to which these behaviours are (</w:t>
            </w:r>
            <w:proofErr w:type="spellStart"/>
            <w:r w:rsidRPr="005F245E">
              <w:rPr>
                <w:rFonts w:cstheme="minorHAnsi"/>
              </w:rPr>
              <w:t>i</w:t>
            </w:r>
            <w:proofErr w:type="spellEnd"/>
            <w:r w:rsidRPr="005F245E">
              <w:rPr>
                <w:rFonts w:cstheme="minorHAnsi"/>
              </w:rPr>
              <w:t xml:space="preserve">) considered as harmful in each group and (ii) related to positive, prosocial behaviours. </w:t>
            </w:r>
          </w:p>
          <w:p w14:paraId="0684D1D9" w14:textId="77777777" w:rsidR="005F245E" w:rsidRDefault="005F245E" w:rsidP="005F245E">
            <w:pPr>
              <w:rPr>
                <w:rFonts w:cstheme="minorHAnsi"/>
              </w:rPr>
            </w:pPr>
          </w:p>
          <w:p w14:paraId="1AC9F06E" w14:textId="77777777" w:rsidR="00FE14C5" w:rsidRDefault="00FE14C5" w:rsidP="00572718">
            <w:pPr>
              <w:rPr>
                <w:rFonts w:cstheme="minorHAnsi"/>
              </w:rPr>
            </w:pPr>
            <w:r>
              <w:rPr>
                <w:rFonts w:cstheme="minorHAnsi"/>
              </w:rPr>
              <w:t>In service of this aim, we plan to show younger and older participants real-life</w:t>
            </w:r>
            <w:r w:rsidR="005F245E" w:rsidRPr="005F245E">
              <w:rPr>
                <w:rFonts w:cstheme="minorHAnsi"/>
              </w:rPr>
              <w:t xml:space="preserve"> inter-generational interactions in which one person provides help/assistance/kindness or condescends an older adult, </w:t>
            </w:r>
            <w:r>
              <w:rPr>
                <w:rFonts w:cstheme="minorHAnsi"/>
              </w:rPr>
              <w:t xml:space="preserve">to assess agreement </w:t>
            </w:r>
            <w:r w:rsidR="005F245E" w:rsidRPr="005F245E">
              <w:rPr>
                <w:rFonts w:cstheme="minorHAnsi"/>
              </w:rPr>
              <w:t>with respect to (</w:t>
            </w:r>
            <w:proofErr w:type="spellStart"/>
            <w:r w:rsidR="005F245E" w:rsidRPr="005F245E">
              <w:rPr>
                <w:rFonts w:cstheme="minorHAnsi"/>
              </w:rPr>
              <w:t>i</w:t>
            </w:r>
            <w:proofErr w:type="spellEnd"/>
            <w:r w:rsidR="005F245E" w:rsidRPr="005F245E">
              <w:rPr>
                <w:rFonts w:cstheme="minorHAnsi"/>
              </w:rPr>
              <w:t>) which videos depict benevolent ageism and (ii) how upsetting this experience of benevolent ageism is likely to be for the older adult depicted</w:t>
            </w:r>
            <w:r>
              <w:rPr>
                <w:rFonts w:cstheme="minorHAnsi"/>
              </w:rPr>
              <w:t xml:space="preserve">. </w:t>
            </w:r>
          </w:p>
          <w:p w14:paraId="78975B8C" w14:textId="77777777" w:rsidR="00FE14C5" w:rsidRDefault="00FE14C5" w:rsidP="00572718">
            <w:pPr>
              <w:rPr>
                <w:rFonts w:cstheme="minorHAnsi"/>
              </w:rPr>
            </w:pPr>
          </w:p>
          <w:p w14:paraId="50B7FBB3" w14:textId="77777777" w:rsidR="00FA2569" w:rsidRDefault="00FE14C5" w:rsidP="00572718">
            <w:pPr>
              <w:rPr>
                <w:rFonts w:cstheme="minorHAnsi"/>
              </w:rPr>
            </w:pPr>
            <w:r>
              <w:rPr>
                <w:rFonts w:cstheme="minorHAnsi"/>
              </w:rPr>
              <w:t xml:space="preserve">The successful applicant will be responsible for sourcing videos of possible benevolent ageism interactions via social media (e.g., TikTok, Instagram, YouTube). </w:t>
            </w:r>
          </w:p>
          <w:p w14:paraId="1F04017C" w14:textId="5019607C" w:rsidR="00FE14C5" w:rsidRPr="00FE14C5" w:rsidRDefault="00FE14C5" w:rsidP="00572718">
            <w:pPr>
              <w:rPr>
                <w:rFonts w:cstheme="minorHAnsi"/>
              </w:rPr>
            </w:pPr>
          </w:p>
        </w:tc>
      </w:tr>
      <w:tr w:rsidR="00FA2569" w:rsidRPr="00454FF1" w14:paraId="08D1F94C" w14:textId="77777777" w:rsidTr="005449D4">
        <w:trPr>
          <w:trHeight w:val="699"/>
        </w:trPr>
        <w:tc>
          <w:tcPr>
            <w:tcW w:w="1985" w:type="dxa"/>
            <w:shd w:val="clear" w:color="auto" w:fill="F2F2F2" w:themeFill="background1" w:themeFillShade="F2"/>
          </w:tcPr>
          <w:p w14:paraId="51555944" w14:textId="77777777" w:rsidR="00FE14C5" w:rsidRDefault="00FE14C5">
            <w:pPr>
              <w:rPr>
                <w:rFonts w:cstheme="minorHAnsi"/>
                <w:b/>
              </w:rPr>
            </w:pPr>
          </w:p>
          <w:p w14:paraId="2C262847" w14:textId="7E1A4851"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4EE4016F" w14:textId="49CDC2E7" w:rsidR="004175CE" w:rsidRDefault="004175CE" w:rsidP="00D61347">
            <w:pPr>
              <w:rPr>
                <w:rFonts w:cstheme="minorHAnsi"/>
                <w:color w:val="000000"/>
              </w:rPr>
            </w:pPr>
          </w:p>
          <w:p w14:paraId="08DC5C6A" w14:textId="53F1CB8A" w:rsidR="00FA2569" w:rsidRPr="00454FF1" w:rsidRDefault="00FE14C5" w:rsidP="00FE14C5">
            <w:pPr>
              <w:rPr>
                <w:rFonts w:cstheme="minorHAnsi"/>
                <w:i/>
              </w:rPr>
            </w:pPr>
            <w:r w:rsidRPr="00FE14C5">
              <w:rPr>
                <w:rFonts w:cstheme="minorHAnsi"/>
                <w:color w:val="000000"/>
              </w:rPr>
              <w:t xml:space="preserve">The successful applicant will develop valuable methodological skills. In the first half of the program, they will learn to identify and select study stimuli based on predefined criteria. In the second half, they will contribute to </w:t>
            </w:r>
            <w:r w:rsidRPr="00FE14C5">
              <w:rPr>
                <w:rFonts w:cstheme="minorHAnsi"/>
                <w:color w:val="000000"/>
              </w:rPr>
              <w:lastRenderedPageBreak/>
              <w:t>setting up an online study to pilot test the suitability of the selected stimuli.</w:t>
            </w:r>
          </w:p>
        </w:tc>
      </w:tr>
      <w:tr w:rsidR="00FA2569" w:rsidRPr="00454FF1" w14:paraId="3FC33824" w14:textId="77777777" w:rsidTr="005449D4">
        <w:trPr>
          <w:trHeight w:val="1083"/>
        </w:trPr>
        <w:tc>
          <w:tcPr>
            <w:tcW w:w="1985" w:type="dxa"/>
            <w:shd w:val="clear" w:color="auto" w:fill="F2F2F2" w:themeFill="background1" w:themeFillShade="F2"/>
          </w:tcPr>
          <w:p w14:paraId="1E1F3480" w14:textId="77777777" w:rsidR="00FE14C5" w:rsidRDefault="00FE14C5" w:rsidP="00D61347">
            <w:pPr>
              <w:rPr>
                <w:rFonts w:cstheme="minorHAnsi"/>
                <w:b/>
              </w:rPr>
            </w:pPr>
          </w:p>
          <w:p w14:paraId="7A558138" w14:textId="7DC232AE" w:rsidR="00FA2569" w:rsidRPr="00454FF1" w:rsidRDefault="00FA2569" w:rsidP="00D61347">
            <w:pPr>
              <w:rPr>
                <w:rFonts w:cstheme="minorHAnsi"/>
                <w:b/>
              </w:rPr>
            </w:pPr>
            <w:r w:rsidRPr="00454FF1">
              <w:rPr>
                <w:rFonts w:cstheme="minorHAnsi"/>
                <w:b/>
              </w:rPr>
              <w:t>Suitable for:</w:t>
            </w:r>
          </w:p>
        </w:tc>
        <w:tc>
          <w:tcPr>
            <w:tcW w:w="7149" w:type="dxa"/>
          </w:tcPr>
          <w:p w14:paraId="3CA94777" w14:textId="77777777" w:rsidR="00FE14C5" w:rsidRDefault="00FE14C5" w:rsidP="00D61347">
            <w:pPr>
              <w:rPr>
                <w:rFonts w:cstheme="minorHAnsi"/>
                <w:color w:val="000000"/>
              </w:rPr>
            </w:pPr>
          </w:p>
          <w:p w14:paraId="3674F40C" w14:textId="121C70F0" w:rsidR="00FA2569" w:rsidRPr="00454FF1" w:rsidRDefault="00FE14C5" w:rsidP="00D61347">
            <w:pPr>
              <w:rPr>
                <w:rFonts w:cstheme="minorHAnsi"/>
                <w:i/>
              </w:rPr>
            </w:pPr>
            <w:r>
              <w:rPr>
                <w:rFonts w:cstheme="minorHAnsi"/>
                <w:color w:val="000000"/>
              </w:rPr>
              <w:t>Suitable for 3</w:t>
            </w:r>
            <w:r w:rsidRPr="00E83B13">
              <w:rPr>
                <w:rFonts w:cstheme="minorHAnsi"/>
                <w:color w:val="000000"/>
                <w:vertAlign w:val="superscript"/>
              </w:rPr>
              <w:t>rd</w:t>
            </w:r>
            <w:r>
              <w:rPr>
                <w:rFonts w:cstheme="minorHAnsi"/>
                <w:color w:val="000000"/>
              </w:rPr>
              <w:t xml:space="preserve"> or 4</w:t>
            </w:r>
            <w:r w:rsidRPr="00E83B13">
              <w:rPr>
                <w:rFonts w:cstheme="minorHAnsi"/>
                <w:color w:val="000000"/>
                <w:vertAlign w:val="superscript"/>
              </w:rPr>
              <w:t>th</w:t>
            </w:r>
            <w:r>
              <w:rPr>
                <w:rFonts w:cstheme="minorHAnsi"/>
                <w:color w:val="000000"/>
              </w:rPr>
              <w:t xml:space="preserve"> year students with great attention to detail</w:t>
            </w:r>
            <w:r>
              <w:rPr>
                <w:rFonts w:cstheme="minorHAnsi"/>
                <w:color w:val="000000"/>
              </w:rPr>
              <w:t xml:space="preserve"> and access to social media (e.g., TikTok, Instagram, YouTube).</w:t>
            </w:r>
          </w:p>
        </w:tc>
      </w:tr>
      <w:tr w:rsidR="00FA2569" w:rsidRPr="00454FF1" w14:paraId="090A1DC5" w14:textId="77777777" w:rsidTr="00FA2569">
        <w:tc>
          <w:tcPr>
            <w:tcW w:w="1985" w:type="dxa"/>
            <w:shd w:val="clear" w:color="auto" w:fill="F2F2F2" w:themeFill="background1" w:themeFillShade="F2"/>
          </w:tcPr>
          <w:p w14:paraId="4870D441" w14:textId="77777777" w:rsidR="00FE14C5" w:rsidRDefault="00FE14C5" w:rsidP="00572718">
            <w:pPr>
              <w:rPr>
                <w:rFonts w:cstheme="minorHAnsi"/>
                <w:b/>
              </w:rPr>
            </w:pPr>
          </w:p>
          <w:p w14:paraId="3F4D975E" w14:textId="18D1ECA9"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56D2799" w14:textId="77777777" w:rsidR="00FE14C5" w:rsidRDefault="00FE14C5" w:rsidP="00FA2569">
            <w:pPr>
              <w:rPr>
                <w:rFonts w:cstheme="minorHAnsi"/>
              </w:rPr>
            </w:pPr>
          </w:p>
          <w:p w14:paraId="2C13A768" w14:textId="04BDAA99" w:rsidR="00FA2569" w:rsidRPr="005449D4" w:rsidRDefault="00FE14C5" w:rsidP="00FA2569">
            <w:pPr>
              <w:rPr>
                <w:rFonts w:cstheme="minorHAnsi"/>
              </w:rPr>
            </w:pPr>
            <w:r>
              <w:rPr>
                <w:rFonts w:cstheme="minorHAnsi"/>
              </w:rPr>
              <w:t>Dr. Sarah Coundouris</w:t>
            </w:r>
          </w:p>
        </w:tc>
      </w:tr>
      <w:tr w:rsidR="00FA2569" w:rsidRPr="00454FF1" w14:paraId="340D5928" w14:textId="77777777" w:rsidTr="00941E04">
        <w:trPr>
          <w:trHeight w:val="446"/>
        </w:trPr>
        <w:tc>
          <w:tcPr>
            <w:tcW w:w="1985" w:type="dxa"/>
            <w:shd w:val="clear" w:color="auto" w:fill="F2F2F2" w:themeFill="background1" w:themeFillShade="F2"/>
          </w:tcPr>
          <w:p w14:paraId="57D436CA" w14:textId="77777777" w:rsidR="005449D4" w:rsidRDefault="005449D4" w:rsidP="00D61347">
            <w:pPr>
              <w:rPr>
                <w:rFonts w:cstheme="minorHAnsi"/>
                <w:b/>
              </w:rPr>
            </w:pPr>
          </w:p>
          <w:p w14:paraId="6424D200" w14:textId="7B466D18" w:rsidR="00FA2569" w:rsidRPr="00454FF1" w:rsidRDefault="00FA2569" w:rsidP="00D61347">
            <w:pPr>
              <w:rPr>
                <w:rFonts w:cstheme="minorHAnsi"/>
                <w:b/>
              </w:rPr>
            </w:pPr>
            <w:r>
              <w:rPr>
                <w:rFonts w:cstheme="minorHAnsi"/>
                <w:b/>
              </w:rPr>
              <w:t>Further info:</w:t>
            </w:r>
          </w:p>
        </w:tc>
        <w:tc>
          <w:tcPr>
            <w:tcW w:w="7149" w:type="dxa"/>
          </w:tcPr>
          <w:p w14:paraId="0CAC73A7" w14:textId="77777777" w:rsidR="00FE14C5" w:rsidRDefault="00FE14C5" w:rsidP="00FA2569">
            <w:pPr>
              <w:rPr>
                <w:rFonts w:cstheme="minorHAnsi"/>
              </w:rPr>
            </w:pPr>
          </w:p>
          <w:p w14:paraId="43751562" w14:textId="77777777" w:rsidR="00FE14C5" w:rsidRDefault="00FE14C5" w:rsidP="00FA2569">
            <w:r w:rsidRPr="00941E04">
              <w:rPr>
                <w:rFonts w:cstheme="minorHAnsi"/>
              </w:rPr>
              <w:t>If</w:t>
            </w:r>
            <w:r>
              <w:rPr>
                <w:rFonts w:cstheme="minorHAnsi"/>
              </w:rPr>
              <w:t xml:space="preserve"> </w:t>
            </w:r>
            <w:r w:rsidRPr="00941E04">
              <w:rPr>
                <w:rFonts w:cstheme="minorHAnsi"/>
              </w:rPr>
              <w:t xml:space="preserve">you </w:t>
            </w:r>
            <w:r>
              <w:rPr>
                <w:rFonts w:cstheme="minorHAnsi"/>
              </w:rPr>
              <w:t xml:space="preserve">are interested in this position or </w:t>
            </w:r>
            <w:r w:rsidRPr="00941E04">
              <w:rPr>
                <w:rFonts w:cstheme="minorHAnsi"/>
              </w:rPr>
              <w:t xml:space="preserve">would like </w:t>
            </w:r>
            <w:r>
              <w:rPr>
                <w:rFonts w:cstheme="minorHAnsi"/>
              </w:rPr>
              <w:t xml:space="preserve">to know more about this </w:t>
            </w:r>
            <w:proofErr w:type="gramStart"/>
            <w:r>
              <w:rPr>
                <w:rFonts w:cstheme="minorHAnsi"/>
              </w:rPr>
              <w:t>project</w:t>
            </w:r>
            <w:proofErr w:type="gramEnd"/>
            <w:r>
              <w:rPr>
                <w:rFonts w:cstheme="minorHAnsi"/>
              </w:rPr>
              <w:t xml:space="preserve"> please contact </w:t>
            </w:r>
            <w:hyperlink r:id="rId10" w:history="1">
              <w:r w:rsidRPr="00522E07">
                <w:rPr>
                  <w:rStyle w:val="Hyperlink"/>
                  <w:rFonts w:cstheme="minorHAnsi"/>
                </w:rPr>
                <w:t>s.coundouris@uq.edu.au</w:t>
              </w:r>
            </w:hyperlink>
            <w:r>
              <w:t>, prior to applying.</w:t>
            </w:r>
          </w:p>
          <w:p w14:paraId="57BE2138" w14:textId="60963F60" w:rsidR="00FE14C5" w:rsidRPr="00941E04" w:rsidRDefault="00FE14C5"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88C6E" w14:textId="77777777" w:rsidR="00E21311" w:rsidRDefault="00E21311" w:rsidP="00D00E60">
      <w:r>
        <w:separator/>
      </w:r>
    </w:p>
  </w:endnote>
  <w:endnote w:type="continuationSeparator" w:id="0">
    <w:p w14:paraId="07B25E64" w14:textId="77777777" w:rsidR="00E21311" w:rsidRDefault="00E21311"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C5254" w14:textId="77777777" w:rsidR="00E21311" w:rsidRDefault="00E21311" w:rsidP="00D00E60">
      <w:r>
        <w:separator/>
      </w:r>
    </w:p>
  </w:footnote>
  <w:footnote w:type="continuationSeparator" w:id="0">
    <w:p w14:paraId="01034DB8" w14:textId="77777777" w:rsidR="00E21311" w:rsidRDefault="00E21311"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3B22"/>
    <w:rsid w:val="000C6E7B"/>
    <w:rsid w:val="001C1584"/>
    <w:rsid w:val="002B5ABA"/>
    <w:rsid w:val="00332027"/>
    <w:rsid w:val="003570F0"/>
    <w:rsid w:val="004175CE"/>
    <w:rsid w:val="00454FF1"/>
    <w:rsid w:val="004C1625"/>
    <w:rsid w:val="00502FC5"/>
    <w:rsid w:val="00511802"/>
    <w:rsid w:val="005449D4"/>
    <w:rsid w:val="005646D9"/>
    <w:rsid w:val="00572429"/>
    <w:rsid w:val="005F245E"/>
    <w:rsid w:val="00675329"/>
    <w:rsid w:val="00696C35"/>
    <w:rsid w:val="006A585A"/>
    <w:rsid w:val="00715346"/>
    <w:rsid w:val="007773C9"/>
    <w:rsid w:val="00846AEE"/>
    <w:rsid w:val="00922FF4"/>
    <w:rsid w:val="00941E04"/>
    <w:rsid w:val="009F1503"/>
    <w:rsid w:val="00A54AF7"/>
    <w:rsid w:val="00A76B9C"/>
    <w:rsid w:val="00A85667"/>
    <w:rsid w:val="00BA289F"/>
    <w:rsid w:val="00C16A3E"/>
    <w:rsid w:val="00C20DAA"/>
    <w:rsid w:val="00C736FA"/>
    <w:rsid w:val="00D00E60"/>
    <w:rsid w:val="00D41190"/>
    <w:rsid w:val="00D61347"/>
    <w:rsid w:val="00D70F20"/>
    <w:rsid w:val="00E21311"/>
    <w:rsid w:val="00F37D30"/>
    <w:rsid w:val="00FA2569"/>
    <w:rsid w:val="00FD2F97"/>
    <w:rsid w:val="00FE1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CommentReference">
    <w:name w:val="annotation reference"/>
    <w:basedOn w:val="DefaultParagraphFont"/>
    <w:uiPriority w:val="99"/>
    <w:semiHidden/>
    <w:unhideWhenUsed/>
    <w:rsid w:val="005F245E"/>
    <w:rPr>
      <w:sz w:val="16"/>
      <w:szCs w:val="16"/>
    </w:rPr>
  </w:style>
  <w:style w:type="paragraph" w:styleId="CommentText">
    <w:name w:val="annotation text"/>
    <w:basedOn w:val="Normal"/>
    <w:link w:val="CommentTextChar"/>
    <w:uiPriority w:val="99"/>
    <w:unhideWhenUsed/>
    <w:rsid w:val="005F245E"/>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5F245E"/>
    <w:rPr>
      <w:kern w:val="2"/>
      <w:sz w:val="20"/>
      <w:szCs w:val="20"/>
      <w14:ligatures w14:val="standardContextual"/>
    </w:rPr>
  </w:style>
  <w:style w:type="character" w:styleId="UnresolvedMention">
    <w:name w:val="Unresolved Mention"/>
    <w:basedOn w:val="DefaultParagraphFont"/>
    <w:uiPriority w:val="99"/>
    <w:semiHidden/>
    <w:unhideWhenUsed/>
    <w:rsid w:val="005F2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118639986">
      <w:bodyDiv w:val="1"/>
      <w:marLeft w:val="0"/>
      <w:marRight w:val="0"/>
      <w:marTop w:val="0"/>
      <w:marBottom w:val="0"/>
      <w:divBdr>
        <w:top w:val="none" w:sz="0" w:space="0" w:color="auto"/>
        <w:left w:val="none" w:sz="0" w:space="0" w:color="auto"/>
        <w:bottom w:val="none" w:sz="0" w:space="0" w:color="auto"/>
        <w:right w:val="none" w:sz="0" w:space="0" w:color="auto"/>
      </w:divBdr>
      <w:divsChild>
        <w:div w:id="2035155043">
          <w:marLeft w:val="0"/>
          <w:marRight w:val="0"/>
          <w:marTop w:val="0"/>
          <w:marBottom w:val="0"/>
          <w:divBdr>
            <w:top w:val="none" w:sz="0" w:space="0" w:color="auto"/>
            <w:left w:val="none" w:sz="0" w:space="0" w:color="auto"/>
            <w:bottom w:val="none" w:sz="0" w:space="0" w:color="auto"/>
            <w:right w:val="none" w:sz="0" w:space="0" w:color="auto"/>
          </w:divBdr>
          <w:divsChild>
            <w:div w:id="705564196">
              <w:marLeft w:val="0"/>
              <w:marRight w:val="0"/>
              <w:marTop w:val="0"/>
              <w:marBottom w:val="0"/>
              <w:divBdr>
                <w:top w:val="none" w:sz="0" w:space="0" w:color="auto"/>
                <w:left w:val="none" w:sz="0" w:space="0" w:color="auto"/>
                <w:bottom w:val="none" w:sz="0" w:space="0" w:color="auto"/>
                <w:right w:val="none" w:sz="0" w:space="0" w:color="auto"/>
              </w:divBdr>
              <w:divsChild>
                <w:div w:id="205417367">
                  <w:marLeft w:val="0"/>
                  <w:marRight w:val="0"/>
                  <w:marTop w:val="0"/>
                  <w:marBottom w:val="0"/>
                  <w:divBdr>
                    <w:top w:val="none" w:sz="0" w:space="0" w:color="auto"/>
                    <w:left w:val="none" w:sz="0" w:space="0" w:color="auto"/>
                    <w:bottom w:val="none" w:sz="0" w:space="0" w:color="auto"/>
                    <w:right w:val="none" w:sz="0" w:space="0" w:color="auto"/>
                  </w:divBdr>
                  <w:divsChild>
                    <w:div w:id="7912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17025">
          <w:marLeft w:val="0"/>
          <w:marRight w:val="0"/>
          <w:marTop w:val="0"/>
          <w:marBottom w:val="0"/>
          <w:divBdr>
            <w:top w:val="none" w:sz="0" w:space="0" w:color="auto"/>
            <w:left w:val="none" w:sz="0" w:space="0" w:color="auto"/>
            <w:bottom w:val="none" w:sz="0" w:space="0" w:color="auto"/>
            <w:right w:val="none" w:sz="0" w:space="0" w:color="auto"/>
          </w:divBdr>
          <w:divsChild>
            <w:div w:id="296683706">
              <w:marLeft w:val="0"/>
              <w:marRight w:val="0"/>
              <w:marTop w:val="0"/>
              <w:marBottom w:val="0"/>
              <w:divBdr>
                <w:top w:val="none" w:sz="0" w:space="0" w:color="auto"/>
                <w:left w:val="none" w:sz="0" w:space="0" w:color="auto"/>
                <w:bottom w:val="none" w:sz="0" w:space="0" w:color="auto"/>
                <w:right w:val="none" w:sz="0" w:space="0" w:color="auto"/>
              </w:divBdr>
              <w:divsChild>
                <w:div w:id="1010986756">
                  <w:marLeft w:val="0"/>
                  <w:marRight w:val="0"/>
                  <w:marTop w:val="0"/>
                  <w:marBottom w:val="0"/>
                  <w:divBdr>
                    <w:top w:val="none" w:sz="0" w:space="0" w:color="auto"/>
                    <w:left w:val="none" w:sz="0" w:space="0" w:color="auto"/>
                    <w:bottom w:val="none" w:sz="0" w:space="0" w:color="auto"/>
                    <w:right w:val="none" w:sz="0" w:space="0" w:color="auto"/>
                  </w:divBdr>
                  <w:divsChild>
                    <w:div w:id="15600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1791780488">
      <w:bodyDiv w:val="1"/>
      <w:marLeft w:val="0"/>
      <w:marRight w:val="0"/>
      <w:marTop w:val="0"/>
      <w:marBottom w:val="0"/>
      <w:divBdr>
        <w:top w:val="none" w:sz="0" w:space="0" w:color="auto"/>
        <w:left w:val="none" w:sz="0" w:space="0" w:color="auto"/>
        <w:bottom w:val="none" w:sz="0" w:space="0" w:color="auto"/>
        <w:right w:val="none" w:sz="0" w:space="0" w:color="auto"/>
      </w:divBdr>
      <w:divsChild>
        <w:div w:id="532304771">
          <w:marLeft w:val="0"/>
          <w:marRight w:val="0"/>
          <w:marTop w:val="0"/>
          <w:marBottom w:val="0"/>
          <w:divBdr>
            <w:top w:val="none" w:sz="0" w:space="0" w:color="auto"/>
            <w:left w:val="none" w:sz="0" w:space="0" w:color="auto"/>
            <w:bottom w:val="none" w:sz="0" w:space="0" w:color="auto"/>
            <w:right w:val="none" w:sz="0" w:space="0" w:color="auto"/>
          </w:divBdr>
          <w:divsChild>
            <w:div w:id="1071778390">
              <w:marLeft w:val="0"/>
              <w:marRight w:val="0"/>
              <w:marTop w:val="0"/>
              <w:marBottom w:val="0"/>
              <w:divBdr>
                <w:top w:val="none" w:sz="0" w:space="0" w:color="auto"/>
                <w:left w:val="none" w:sz="0" w:space="0" w:color="auto"/>
                <w:bottom w:val="none" w:sz="0" w:space="0" w:color="auto"/>
                <w:right w:val="none" w:sz="0" w:space="0" w:color="auto"/>
              </w:divBdr>
              <w:divsChild>
                <w:div w:id="282545296">
                  <w:marLeft w:val="0"/>
                  <w:marRight w:val="0"/>
                  <w:marTop w:val="0"/>
                  <w:marBottom w:val="0"/>
                  <w:divBdr>
                    <w:top w:val="none" w:sz="0" w:space="0" w:color="auto"/>
                    <w:left w:val="none" w:sz="0" w:space="0" w:color="auto"/>
                    <w:bottom w:val="none" w:sz="0" w:space="0" w:color="auto"/>
                    <w:right w:val="none" w:sz="0" w:space="0" w:color="auto"/>
                  </w:divBdr>
                  <w:divsChild>
                    <w:div w:id="7068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7550">
          <w:marLeft w:val="0"/>
          <w:marRight w:val="0"/>
          <w:marTop w:val="0"/>
          <w:marBottom w:val="0"/>
          <w:divBdr>
            <w:top w:val="none" w:sz="0" w:space="0" w:color="auto"/>
            <w:left w:val="none" w:sz="0" w:space="0" w:color="auto"/>
            <w:bottom w:val="none" w:sz="0" w:space="0" w:color="auto"/>
            <w:right w:val="none" w:sz="0" w:space="0" w:color="auto"/>
          </w:divBdr>
          <w:divsChild>
            <w:div w:id="1944727409">
              <w:marLeft w:val="0"/>
              <w:marRight w:val="0"/>
              <w:marTop w:val="0"/>
              <w:marBottom w:val="0"/>
              <w:divBdr>
                <w:top w:val="none" w:sz="0" w:space="0" w:color="auto"/>
                <w:left w:val="none" w:sz="0" w:space="0" w:color="auto"/>
                <w:bottom w:val="none" w:sz="0" w:space="0" w:color="auto"/>
                <w:right w:val="none" w:sz="0" w:space="0" w:color="auto"/>
              </w:divBdr>
              <w:divsChild>
                <w:div w:id="553587082">
                  <w:marLeft w:val="0"/>
                  <w:marRight w:val="0"/>
                  <w:marTop w:val="0"/>
                  <w:marBottom w:val="0"/>
                  <w:divBdr>
                    <w:top w:val="none" w:sz="0" w:space="0" w:color="auto"/>
                    <w:left w:val="none" w:sz="0" w:space="0" w:color="auto"/>
                    <w:bottom w:val="none" w:sz="0" w:space="0" w:color="auto"/>
                    <w:right w:val="none" w:sz="0" w:space="0" w:color="auto"/>
                  </w:divBdr>
                  <w:divsChild>
                    <w:div w:id="19273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coundouris@uq.edu.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010F025BEBCF419569827A1AFFDFDF" ma:contentTypeVersion="13" ma:contentTypeDescription="Create a new document." ma:contentTypeScope="" ma:versionID="6f019de4212129d50b32dd6559f04100">
  <xsd:schema xmlns:xsd="http://www.w3.org/2001/XMLSchema" xmlns:xs="http://www.w3.org/2001/XMLSchema" xmlns:p="http://schemas.microsoft.com/office/2006/metadata/properties" xmlns:ns2="3c1fb389-b920-4688-83de-9906c9ffce77" xmlns:ns3="372a87c3-b2f5-41e5-af82-eebc10a22232" targetNamespace="http://schemas.microsoft.com/office/2006/metadata/properties" ma:root="true" ma:fieldsID="fc8e870457d23049e01efd212140a756" ns2:_="" ns3:_="">
    <xsd:import namespace="3c1fb389-b920-4688-83de-9906c9ffce77"/>
    <xsd:import namespace="372a87c3-b2f5-41e5-af82-eebc10a222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b389-b920-4688-83de-9906c9ffc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a87c3-b2f5-41e5-af82-eebc10a22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1fb389-b920-4688-83de-9906c9ffce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686BA2-0C40-4C62-A070-8AB8781E6CDF}">
  <ds:schemaRefs>
    <ds:schemaRef ds:uri="http://schemas.microsoft.com/sharepoint/v3/contenttype/forms"/>
  </ds:schemaRefs>
</ds:datastoreItem>
</file>

<file path=customXml/itemProps2.xml><?xml version="1.0" encoding="utf-8"?>
<ds:datastoreItem xmlns:ds="http://schemas.openxmlformats.org/officeDocument/2006/customXml" ds:itemID="{BB237E3F-70BA-45FB-BA79-7CB3436B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b389-b920-4688-83de-9906c9ffce77"/>
    <ds:schemaRef ds:uri="372a87c3-b2f5-41e5-af82-eebc10a22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7226A-1831-40AB-AEAE-ADD6D905AA8C}">
  <ds:schemaRefs>
    <ds:schemaRef ds:uri="http://schemas.microsoft.com/office/2006/metadata/properties"/>
    <ds:schemaRef ds:uri="http://schemas.microsoft.com/office/infopath/2007/PartnerControls"/>
    <ds:schemaRef ds:uri="3c1fb389-b920-4688-83de-9906c9ffce7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Sarah Coundouris</cp:lastModifiedBy>
  <cp:revision>2</cp:revision>
  <dcterms:created xsi:type="dcterms:W3CDTF">2025-02-16T22:53:00Z</dcterms:created>
  <dcterms:modified xsi:type="dcterms:W3CDTF">2025-02-16T22:53:00Z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0x01010070010F025BEBCF419569827A1AFFDFDF</vt:lpwstr>
  </property>
</Properties>
</file>