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2379D2E3" w:rsidR="00D61347" w:rsidRDefault="0070309E" w:rsidP="00A54AF7">
      <w:pPr>
        <w:rPr>
          <w:b/>
          <w:color w:val="000000"/>
          <w:sz w:val="32"/>
        </w:rPr>
      </w:pPr>
      <w:r>
        <w:rPr>
          <w:b/>
          <w:color w:val="000000"/>
          <w:sz w:val="32"/>
        </w:rPr>
        <w:t>2022</w:t>
      </w:r>
      <w:r w:rsidR="007D706C">
        <w:rPr>
          <w:b/>
          <w:color w:val="000000"/>
          <w:sz w:val="32"/>
        </w:rPr>
        <w:t xml:space="preserve">/2023 Summer </w:t>
      </w:r>
      <w:r w:rsidR="00D61347"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1"/>
        <w:gridCol w:w="6947"/>
      </w:tblGrid>
      <w:tr w:rsidR="00D61347" w:rsidRPr="00454FF1" w14:paraId="7C305A17" w14:textId="77777777" w:rsidTr="000E5443">
        <w:tc>
          <w:tcPr>
            <w:tcW w:w="1961"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47" w:type="dxa"/>
          </w:tcPr>
          <w:p w14:paraId="7AF3518C" w14:textId="77777777" w:rsidR="00D61347" w:rsidRDefault="00370BF8">
            <w:pPr>
              <w:rPr>
                <w:rFonts w:cstheme="minorHAnsi"/>
                <w:b/>
                <w:bCs/>
              </w:rPr>
            </w:pPr>
            <w:r w:rsidRPr="00803CB7">
              <w:rPr>
                <w:rFonts w:cstheme="minorHAnsi"/>
                <w:b/>
                <w:bCs/>
              </w:rPr>
              <w:t>Peer Collaboration and Word Learning</w:t>
            </w:r>
            <w:r w:rsidR="000E5443" w:rsidRPr="00803CB7">
              <w:rPr>
                <w:rFonts w:cstheme="minorHAnsi"/>
                <w:b/>
                <w:bCs/>
              </w:rPr>
              <w:t xml:space="preserve"> </w:t>
            </w:r>
          </w:p>
          <w:p w14:paraId="092F71E0" w14:textId="71E50B67" w:rsidR="00803CB7" w:rsidRPr="00803CB7" w:rsidRDefault="00803CB7">
            <w:pPr>
              <w:rPr>
                <w:rFonts w:cstheme="minorHAnsi"/>
                <w:b/>
                <w:bCs/>
              </w:rPr>
            </w:pPr>
          </w:p>
        </w:tc>
      </w:tr>
      <w:tr w:rsidR="00FA2569" w:rsidRPr="00454FF1" w14:paraId="0AE577D5" w14:textId="77777777" w:rsidTr="000E5443">
        <w:tc>
          <w:tcPr>
            <w:tcW w:w="1961"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6947" w:type="dxa"/>
          </w:tcPr>
          <w:p w14:paraId="7265C9EB" w14:textId="12A24B6C" w:rsidR="0070309E" w:rsidRDefault="000E5443" w:rsidP="00572718">
            <w:pPr>
              <w:rPr>
                <w:rFonts w:cstheme="minorHAnsi"/>
              </w:rPr>
            </w:pPr>
            <w:r>
              <w:rPr>
                <w:rFonts w:cstheme="minorHAnsi"/>
              </w:rPr>
              <w:t>8</w:t>
            </w:r>
            <w:r w:rsidR="006E71F5">
              <w:rPr>
                <w:rFonts w:cstheme="minorHAnsi"/>
              </w:rPr>
              <w:t xml:space="preserve"> </w:t>
            </w:r>
            <w:r w:rsidR="0070309E">
              <w:rPr>
                <w:rFonts w:cstheme="minorHAnsi"/>
              </w:rPr>
              <w:t xml:space="preserve">weeks during </w:t>
            </w:r>
            <w:r w:rsidR="006E71F5">
              <w:rPr>
                <w:rFonts w:cstheme="minorHAnsi"/>
              </w:rPr>
              <w:t>Summer</w:t>
            </w:r>
            <w:r w:rsidR="0070309E">
              <w:rPr>
                <w:rFonts w:cstheme="minorHAnsi"/>
              </w:rPr>
              <w:t xml:space="preserve"> Vacation</w:t>
            </w:r>
            <w:r w:rsidR="006E71F5">
              <w:rPr>
                <w:rFonts w:cstheme="minorHAnsi"/>
              </w:rPr>
              <w:t>.</w:t>
            </w:r>
          </w:p>
          <w:p w14:paraId="30962BF6" w14:textId="77777777" w:rsidR="0070309E" w:rsidRDefault="0070309E" w:rsidP="00572718">
            <w:pPr>
              <w:rPr>
                <w:rFonts w:cstheme="minorHAnsi"/>
              </w:rPr>
            </w:pPr>
          </w:p>
          <w:p w14:paraId="3A1A4303" w14:textId="52F9AC4D" w:rsidR="00511802" w:rsidRDefault="00A86224" w:rsidP="00572718">
            <w:pPr>
              <w:rPr>
                <w:rFonts w:cstheme="minorHAnsi"/>
                <w:i/>
              </w:rPr>
            </w:pPr>
            <w:r>
              <w:rPr>
                <w:rFonts w:cstheme="minorHAnsi"/>
              </w:rPr>
              <w:t xml:space="preserve">Hours of engagement </w:t>
            </w:r>
            <w:r w:rsidR="002B5ABA" w:rsidRPr="002B5ABA">
              <w:rPr>
                <w:rFonts w:cstheme="minorHAnsi"/>
              </w:rPr>
              <w:t xml:space="preserve">must be between </w:t>
            </w:r>
            <w:r w:rsidR="000E5443">
              <w:rPr>
                <w:rFonts w:cstheme="minorHAnsi"/>
              </w:rPr>
              <w:t>28-32</w:t>
            </w:r>
            <w:r w:rsidR="002B5ABA" w:rsidRPr="002B5ABA">
              <w:rPr>
                <w:rFonts w:cstheme="minorHAnsi"/>
              </w:rPr>
              <w:t>hrs per week</w:t>
            </w:r>
            <w:r w:rsidR="000E5443">
              <w:rPr>
                <w:rFonts w:cstheme="minorHAnsi"/>
              </w:rPr>
              <w:t xml:space="preserve"> (</w:t>
            </w:r>
            <w:proofErr w:type="spellStart"/>
            <w:r w:rsidR="000E5443">
              <w:rPr>
                <w:rFonts w:cstheme="minorHAnsi"/>
              </w:rPr>
              <w:t>approx</w:t>
            </w:r>
            <w:proofErr w:type="spellEnd"/>
            <w:r w:rsidR="000E5443">
              <w:rPr>
                <w:rFonts w:cstheme="minorHAnsi"/>
              </w:rPr>
              <w:t xml:space="preserve"> 4 days per week)</w:t>
            </w:r>
          </w:p>
          <w:p w14:paraId="1C899B2A" w14:textId="77777777" w:rsidR="002B5ABA" w:rsidRDefault="002B5ABA" w:rsidP="00572718">
            <w:pPr>
              <w:rPr>
                <w:rFonts w:cstheme="minorHAnsi"/>
              </w:rPr>
            </w:pPr>
          </w:p>
          <w:p w14:paraId="6A509388" w14:textId="60C77FD5" w:rsidR="00FA2569" w:rsidRPr="00454FF1" w:rsidRDefault="000E5443" w:rsidP="00572718">
            <w:pPr>
              <w:rPr>
                <w:rFonts w:cstheme="minorHAnsi"/>
                <w:i/>
              </w:rPr>
            </w:pPr>
            <w:r>
              <w:rPr>
                <w:rFonts w:cstheme="minorHAnsi"/>
              </w:rPr>
              <w:t>Some tasks can be undertaken off-campus however the scholar will be required to attend campus for some activities</w:t>
            </w:r>
          </w:p>
          <w:p w14:paraId="3038B787" w14:textId="608006F0" w:rsidR="00FA2569" w:rsidRPr="00454FF1" w:rsidRDefault="00FA2569" w:rsidP="00511802">
            <w:pPr>
              <w:rPr>
                <w:rFonts w:cstheme="minorHAnsi"/>
                <w:i/>
              </w:rPr>
            </w:pPr>
          </w:p>
        </w:tc>
      </w:tr>
      <w:tr w:rsidR="000E5443" w:rsidRPr="00454FF1" w14:paraId="4490837A" w14:textId="77777777" w:rsidTr="000E5443">
        <w:tc>
          <w:tcPr>
            <w:tcW w:w="1961" w:type="dxa"/>
            <w:shd w:val="clear" w:color="auto" w:fill="F2F2F2" w:themeFill="background1" w:themeFillShade="F2"/>
          </w:tcPr>
          <w:p w14:paraId="2032EC4A" w14:textId="77777777" w:rsidR="000E5443" w:rsidRPr="00454FF1" w:rsidRDefault="000E5443" w:rsidP="000E5443">
            <w:pPr>
              <w:rPr>
                <w:rFonts w:cstheme="minorHAnsi"/>
                <w:b/>
              </w:rPr>
            </w:pPr>
            <w:r w:rsidRPr="00454FF1">
              <w:rPr>
                <w:rFonts w:cstheme="minorHAnsi"/>
                <w:b/>
                <w:color w:val="000000"/>
              </w:rPr>
              <w:t>Description:</w:t>
            </w:r>
          </w:p>
        </w:tc>
        <w:tc>
          <w:tcPr>
            <w:tcW w:w="6947" w:type="dxa"/>
          </w:tcPr>
          <w:p w14:paraId="58E214F7" w14:textId="77777777" w:rsidR="000E5443" w:rsidRPr="00A94E81" w:rsidRDefault="000E5443" w:rsidP="000E5443">
            <w:pPr>
              <w:tabs>
                <w:tab w:val="left" w:pos="2835"/>
              </w:tabs>
              <w:spacing w:after="120" w:line="276" w:lineRule="auto"/>
              <w:rPr>
                <w:rFonts w:eastAsia="Times New Roman" w:cstheme="minorHAnsi"/>
                <w:b/>
                <w:bCs/>
                <w:color w:val="000000" w:themeColor="text1"/>
                <w:lang w:eastAsia="en-GB"/>
              </w:rPr>
            </w:pPr>
            <w:r>
              <w:rPr>
                <w:rFonts w:eastAsia="Times New Roman" w:cstheme="minorHAnsi"/>
                <w:b/>
                <w:bCs/>
                <w:color w:val="000000" w:themeColor="text1"/>
                <w:lang w:eastAsia="en-GB"/>
              </w:rPr>
              <w:t>Project Details:</w:t>
            </w:r>
          </w:p>
          <w:p w14:paraId="71B5E02E" w14:textId="1A068733" w:rsidR="0077721C" w:rsidRDefault="0077721C" w:rsidP="009C6285">
            <w:pPr>
              <w:spacing w:line="276" w:lineRule="auto"/>
              <w:rPr>
                <w:rFonts w:cstheme="minorHAnsi"/>
              </w:rPr>
            </w:pPr>
            <w:r w:rsidRPr="009C6285">
              <w:rPr>
                <w:rFonts w:cstheme="minorHAnsi"/>
              </w:rPr>
              <w:t>Individual differences in early word-learning have implications for educational and social-emotional outcomes. Early word learning is shaped by individual capacities and social experiences. Currently we understand the role of adults in children’s word-learning, yet we have limited insight into the role of peers. Government initiatives for universal early education have led to expansion of the early childhood education and care sector. In this context children receive linguistic input from and alongside peers. Accordingly, we will examine peer influences on word-learning in 3-5year-old children attending childcare. Additionally, we will examine how individual capacity in theory-of-mind and peer-collaboration influence the propensity for word-learning alongside peers.</w:t>
            </w:r>
          </w:p>
          <w:p w14:paraId="077D772A" w14:textId="73512C3E" w:rsidR="00133885" w:rsidRDefault="00133885" w:rsidP="009C6285">
            <w:pPr>
              <w:spacing w:line="276" w:lineRule="auto"/>
              <w:rPr>
                <w:rFonts w:cstheme="minorHAnsi"/>
              </w:rPr>
            </w:pPr>
          </w:p>
          <w:p w14:paraId="0C1B4A40" w14:textId="0A9CC82D" w:rsidR="00133885" w:rsidRPr="009C6285" w:rsidRDefault="00133885" w:rsidP="009C6285">
            <w:pPr>
              <w:spacing w:line="276" w:lineRule="auto"/>
              <w:rPr>
                <w:rFonts w:cstheme="minorHAnsi"/>
              </w:rPr>
            </w:pPr>
            <w:r>
              <w:rPr>
                <w:rFonts w:cstheme="minorHAnsi"/>
              </w:rPr>
              <w:t>Please note that the data for this study has been collected</w:t>
            </w:r>
            <w:r w:rsidR="006A6D85">
              <w:rPr>
                <w:rFonts w:cstheme="minorHAnsi"/>
              </w:rPr>
              <w:t xml:space="preserve">. </w:t>
            </w:r>
          </w:p>
          <w:p w14:paraId="04C62803" w14:textId="77777777" w:rsidR="000E5443" w:rsidRPr="009C6285" w:rsidRDefault="000E5443" w:rsidP="000E5443">
            <w:pPr>
              <w:tabs>
                <w:tab w:val="left" w:pos="2835"/>
              </w:tabs>
              <w:spacing w:after="120" w:line="276" w:lineRule="auto"/>
              <w:rPr>
                <w:rStyle w:val="Lousstyle"/>
                <w:rFonts w:asciiTheme="minorHAnsi" w:hAnsiTheme="minorHAnsi" w:cstheme="minorHAnsi"/>
                <w:sz w:val="24"/>
                <w:szCs w:val="24"/>
              </w:rPr>
            </w:pPr>
          </w:p>
          <w:p w14:paraId="6EEE3C69" w14:textId="2B121A68" w:rsidR="000E5443" w:rsidRPr="00454FF1" w:rsidRDefault="000E5443" w:rsidP="0077721C">
            <w:pPr>
              <w:tabs>
                <w:tab w:val="left" w:pos="2835"/>
              </w:tabs>
              <w:spacing w:after="120" w:line="276" w:lineRule="auto"/>
              <w:rPr>
                <w:rFonts w:cstheme="minorHAnsi"/>
                <w:i/>
              </w:rPr>
            </w:pPr>
            <w:r w:rsidRPr="00837D95">
              <w:rPr>
                <w:rFonts w:cstheme="minorHAnsi"/>
              </w:rPr>
              <w:t xml:space="preserve"> </w:t>
            </w:r>
          </w:p>
        </w:tc>
      </w:tr>
      <w:tr w:rsidR="000E5443" w:rsidRPr="00454FF1" w14:paraId="6616051D" w14:textId="77777777" w:rsidTr="000E5443">
        <w:trPr>
          <w:trHeight w:val="1028"/>
        </w:trPr>
        <w:tc>
          <w:tcPr>
            <w:tcW w:w="1961" w:type="dxa"/>
            <w:shd w:val="clear" w:color="auto" w:fill="F2F2F2" w:themeFill="background1" w:themeFillShade="F2"/>
          </w:tcPr>
          <w:p w14:paraId="7710B88F" w14:textId="77777777" w:rsidR="000E5443" w:rsidRPr="00454FF1" w:rsidRDefault="000E5443" w:rsidP="000E5443">
            <w:pPr>
              <w:rPr>
                <w:rFonts w:cstheme="minorHAnsi"/>
                <w:b/>
              </w:rPr>
            </w:pPr>
            <w:r>
              <w:rPr>
                <w:rFonts w:cstheme="minorHAnsi"/>
                <w:b/>
              </w:rPr>
              <w:t>Expected outcomes and deliverables:</w:t>
            </w:r>
          </w:p>
        </w:tc>
        <w:tc>
          <w:tcPr>
            <w:tcW w:w="6947" w:type="dxa"/>
          </w:tcPr>
          <w:p w14:paraId="7B63AAB5" w14:textId="77777777" w:rsidR="000E5443" w:rsidRPr="00837D95" w:rsidRDefault="000E5443" w:rsidP="000E5443">
            <w:pPr>
              <w:spacing w:line="276" w:lineRule="auto"/>
              <w:rPr>
                <w:rFonts w:cstheme="minorHAnsi"/>
                <w:iCs/>
                <w:color w:val="000000"/>
              </w:rPr>
            </w:pPr>
            <w:r w:rsidRPr="00837D95">
              <w:rPr>
                <w:rFonts w:cstheme="minorHAnsi"/>
                <w:iCs/>
                <w:color w:val="000000"/>
              </w:rPr>
              <w:t>Applicants may have opportunity to undertake the following tasks:</w:t>
            </w:r>
          </w:p>
          <w:p w14:paraId="3998ECD2" w14:textId="77777777" w:rsidR="000E5443" w:rsidRPr="00837D95" w:rsidRDefault="000E5443" w:rsidP="000E5443">
            <w:pPr>
              <w:pStyle w:val="ListParagraph"/>
              <w:numPr>
                <w:ilvl w:val="0"/>
                <w:numId w:val="1"/>
              </w:numPr>
              <w:spacing w:line="276" w:lineRule="auto"/>
              <w:rPr>
                <w:rFonts w:cstheme="minorHAnsi"/>
                <w:iCs/>
                <w:color w:val="000000"/>
              </w:rPr>
            </w:pPr>
            <w:r w:rsidRPr="00837D95">
              <w:rPr>
                <w:rFonts w:cstheme="minorHAnsi"/>
                <w:iCs/>
                <w:color w:val="000000"/>
              </w:rPr>
              <w:t>Review of relevant literature</w:t>
            </w:r>
          </w:p>
          <w:p w14:paraId="3AC212ED" w14:textId="77777777" w:rsidR="000E5443" w:rsidRPr="00837D95" w:rsidRDefault="000E5443" w:rsidP="000E5443">
            <w:pPr>
              <w:pStyle w:val="ListParagraph"/>
              <w:numPr>
                <w:ilvl w:val="0"/>
                <w:numId w:val="1"/>
              </w:numPr>
              <w:spacing w:line="276" w:lineRule="auto"/>
              <w:rPr>
                <w:rFonts w:cstheme="minorHAnsi"/>
                <w:iCs/>
                <w:color w:val="000000"/>
              </w:rPr>
            </w:pPr>
            <w:r w:rsidRPr="00837D95">
              <w:rPr>
                <w:rFonts w:cstheme="minorHAnsi"/>
                <w:iCs/>
                <w:color w:val="000000"/>
              </w:rPr>
              <w:t>Strategic literature searching</w:t>
            </w:r>
          </w:p>
          <w:p w14:paraId="006D0853" w14:textId="77777777" w:rsidR="00803CB7" w:rsidRDefault="00803CB7" w:rsidP="000E5443">
            <w:pPr>
              <w:pStyle w:val="ListParagraph"/>
              <w:numPr>
                <w:ilvl w:val="0"/>
                <w:numId w:val="1"/>
              </w:numPr>
              <w:spacing w:line="276" w:lineRule="auto"/>
              <w:rPr>
                <w:rFonts w:cstheme="minorHAnsi"/>
                <w:iCs/>
                <w:color w:val="000000"/>
              </w:rPr>
            </w:pPr>
            <w:r>
              <w:rPr>
                <w:rFonts w:cstheme="minorHAnsi"/>
                <w:iCs/>
                <w:color w:val="000000"/>
              </w:rPr>
              <w:t>Online training course in data coding procedure</w:t>
            </w:r>
          </w:p>
          <w:p w14:paraId="0634A7A5" w14:textId="57A56DAA" w:rsidR="000E5443" w:rsidRDefault="000E5443" w:rsidP="000E5443">
            <w:pPr>
              <w:pStyle w:val="ListParagraph"/>
              <w:numPr>
                <w:ilvl w:val="0"/>
                <w:numId w:val="1"/>
              </w:numPr>
              <w:spacing w:line="276" w:lineRule="auto"/>
              <w:rPr>
                <w:rFonts w:cstheme="minorHAnsi"/>
                <w:iCs/>
                <w:color w:val="000000"/>
              </w:rPr>
            </w:pPr>
            <w:r w:rsidRPr="00837D95">
              <w:rPr>
                <w:rFonts w:cstheme="minorHAnsi"/>
                <w:iCs/>
                <w:color w:val="000000"/>
              </w:rPr>
              <w:t>Data coding</w:t>
            </w:r>
            <w:r w:rsidR="006A6D85">
              <w:rPr>
                <w:rFonts w:cstheme="minorHAnsi"/>
                <w:iCs/>
                <w:color w:val="000000"/>
              </w:rPr>
              <w:t xml:space="preserve"> </w:t>
            </w:r>
          </w:p>
          <w:p w14:paraId="5E9F45DE" w14:textId="77777777" w:rsidR="000E5443" w:rsidRPr="000E5443" w:rsidRDefault="000E5443" w:rsidP="000E5443">
            <w:pPr>
              <w:pStyle w:val="ListParagraph"/>
              <w:numPr>
                <w:ilvl w:val="0"/>
                <w:numId w:val="1"/>
              </w:numPr>
              <w:spacing w:line="276" w:lineRule="auto"/>
              <w:rPr>
                <w:rFonts w:cstheme="minorHAnsi"/>
                <w:iCs/>
                <w:color w:val="000000"/>
              </w:rPr>
            </w:pPr>
            <w:r w:rsidRPr="000E5443">
              <w:rPr>
                <w:rFonts w:cstheme="minorHAnsi"/>
                <w:iCs/>
                <w:color w:val="000000"/>
              </w:rPr>
              <w:t>Data entry</w:t>
            </w:r>
            <w:r w:rsidRPr="000E5443">
              <w:rPr>
                <w:rFonts w:cstheme="minorHAnsi"/>
                <w:i/>
              </w:rPr>
              <w:t xml:space="preserve"> </w:t>
            </w:r>
          </w:p>
          <w:p w14:paraId="48A11100" w14:textId="2AAD709C" w:rsidR="000E5443" w:rsidRPr="000E5443" w:rsidRDefault="000E5443" w:rsidP="006A6D85">
            <w:pPr>
              <w:pStyle w:val="ListParagraph"/>
              <w:spacing w:line="276" w:lineRule="auto"/>
              <w:rPr>
                <w:rFonts w:cstheme="minorHAnsi"/>
                <w:iCs/>
                <w:color w:val="000000"/>
              </w:rPr>
            </w:pPr>
          </w:p>
        </w:tc>
      </w:tr>
      <w:tr w:rsidR="000E5443" w:rsidRPr="00454FF1" w14:paraId="62FC7FD6" w14:textId="77777777" w:rsidTr="000E5443">
        <w:trPr>
          <w:trHeight w:val="1676"/>
        </w:trPr>
        <w:tc>
          <w:tcPr>
            <w:tcW w:w="1961" w:type="dxa"/>
            <w:shd w:val="clear" w:color="auto" w:fill="F2F2F2" w:themeFill="background1" w:themeFillShade="F2"/>
          </w:tcPr>
          <w:p w14:paraId="75CF1AC0" w14:textId="77777777" w:rsidR="000E5443" w:rsidRPr="00454FF1" w:rsidRDefault="000E5443" w:rsidP="000E5443">
            <w:pPr>
              <w:rPr>
                <w:rFonts w:cstheme="minorHAnsi"/>
                <w:b/>
              </w:rPr>
            </w:pPr>
            <w:r w:rsidRPr="00454FF1">
              <w:rPr>
                <w:rFonts w:cstheme="minorHAnsi"/>
                <w:b/>
              </w:rPr>
              <w:t>Suitable for:</w:t>
            </w:r>
          </w:p>
        </w:tc>
        <w:tc>
          <w:tcPr>
            <w:tcW w:w="6947" w:type="dxa"/>
          </w:tcPr>
          <w:p w14:paraId="70913D1C" w14:textId="77777777" w:rsidR="000E5443" w:rsidRDefault="000E5443" w:rsidP="000E5443">
            <w:pPr>
              <w:pStyle w:val="ListParagraph"/>
              <w:numPr>
                <w:ilvl w:val="0"/>
                <w:numId w:val="2"/>
              </w:numPr>
              <w:spacing w:line="276" w:lineRule="auto"/>
              <w:rPr>
                <w:rFonts w:cstheme="minorHAnsi"/>
                <w:color w:val="000000"/>
              </w:rPr>
            </w:pPr>
            <w:r w:rsidRPr="00837D95">
              <w:rPr>
                <w:rFonts w:cstheme="minorHAnsi"/>
                <w:color w:val="000000"/>
              </w:rPr>
              <w:t xml:space="preserve">Students with </w:t>
            </w:r>
            <w:r>
              <w:rPr>
                <w:rFonts w:cstheme="minorHAnsi"/>
                <w:color w:val="000000"/>
              </w:rPr>
              <w:t xml:space="preserve">an </w:t>
            </w:r>
            <w:r w:rsidRPr="00837D95">
              <w:rPr>
                <w:rFonts w:cstheme="minorHAnsi"/>
                <w:color w:val="000000"/>
              </w:rPr>
              <w:t>interest in Developmental Psychology.</w:t>
            </w:r>
          </w:p>
          <w:p w14:paraId="188E3507" w14:textId="77777777" w:rsidR="000E5443" w:rsidRDefault="000E5443" w:rsidP="000E5443">
            <w:pPr>
              <w:pStyle w:val="ListParagraph"/>
              <w:numPr>
                <w:ilvl w:val="0"/>
                <w:numId w:val="2"/>
              </w:numPr>
              <w:spacing w:line="276" w:lineRule="auto"/>
              <w:rPr>
                <w:rFonts w:cstheme="minorHAnsi"/>
                <w:color w:val="000000"/>
              </w:rPr>
            </w:pPr>
            <w:r w:rsidRPr="000E5443">
              <w:rPr>
                <w:rFonts w:cstheme="minorHAnsi"/>
                <w:color w:val="000000"/>
              </w:rPr>
              <w:t>This project is open to applications from students enrolled within the School of Psychology, UQ.</w:t>
            </w:r>
          </w:p>
          <w:p w14:paraId="2544FF22" w14:textId="1708304C" w:rsidR="000E5443" w:rsidRPr="000E5443" w:rsidRDefault="000E5443" w:rsidP="000E5443">
            <w:pPr>
              <w:pStyle w:val="ListParagraph"/>
              <w:numPr>
                <w:ilvl w:val="0"/>
                <w:numId w:val="2"/>
              </w:numPr>
              <w:spacing w:line="276" w:lineRule="auto"/>
              <w:rPr>
                <w:rFonts w:cstheme="minorHAnsi"/>
                <w:color w:val="000000"/>
              </w:rPr>
            </w:pPr>
            <w:r>
              <w:rPr>
                <w:rFonts w:cstheme="minorHAnsi"/>
                <w:color w:val="000000"/>
              </w:rPr>
              <w:t>Working with Children Blue Card is desirable</w:t>
            </w:r>
          </w:p>
        </w:tc>
      </w:tr>
      <w:tr w:rsidR="000E5443" w:rsidRPr="00454FF1" w14:paraId="3D379308" w14:textId="77777777" w:rsidTr="000E5443">
        <w:tc>
          <w:tcPr>
            <w:tcW w:w="1961" w:type="dxa"/>
            <w:shd w:val="clear" w:color="auto" w:fill="F2F2F2" w:themeFill="background1" w:themeFillShade="F2"/>
          </w:tcPr>
          <w:p w14:paraId="0BC10F56" w14:textId="77777777" w:rsidR="000E5443" w:rsidRDefault="000E5443" w:rsidP="000E5443">
            <w:pPr>
              <w:rPr>
                <w:rFonts w:cstheme="minorHAnsi"/>
                <w:b/>
              </w:rPr>
            </w:pPr>
            <w:r>
              <w:rPr>
                <w:rFonts w:cstheme="minorHAnsi"/>
                <w:b/>
              </w:rPr>
              <w:lastRenderedPageBreak/>
              <w:t xml:space="preserve">Primary </w:t>
            </w:r>
            <w:r w:rsidRPr="00454FF1">
              <w:rPr>
                <w:rFonts w:cstheme="minorHAnsi"/>
                <w:b/>
              </w:rPr>
              <w:t>Supervisor:</w:t>
            </w:r>
          </w:p>
          <w:p w14:paraId="0875FA83" w14:textId="77777777" w:rsidR="000E5443" w:rsidRPr="00454FF1" w:rsidRDefault="000E5443" w:rsidP="000E5443">
            <w:pPr>
              <w:rPr>
                <w:rFonts w:cstheme="minorHAnsi"/>
                <w:b/>
              </w:rPr>
            </w:pPr>
          </w:p>
        </w:tc>
        <w:tc>
          <w:tcPr>
            <w:tcW w:w="6947" w:type="dxa"/>
          </w:tcPr>
          <w:p w14:paraId="311823C5" w14:textId="6389339F" w:rsidR="000E5443" w:rsidRPr="00941E04" w:rsidRDefault="000E5443" w:rsidP="000E5443">
            <w:pPr>
              <w:rPr>
                <w:rFonts w:cstheme="minorHAnsi"/>
              </w:rPr>
            </w:pPr>
            <w:r>
              <w:rPr>
                <w:rFonts w:cstheme="minorHAnsi"/>
              </w:rPr>
              <w:t>Dr Aisling Mulvihill</w:t>
            </w:r>
          </w:p>
          <w:p w14:paraId="06210E8B" w14:textId="77777777" w:rsidR="000E5443" w:rsidRPr="00454FF1" w:rsidRDefault="000E5443" w:rsidP="000E5443">
            <w:pPr>
              <w:rPr>
                <w:rFonts w:cstheme="minorHAnsi"/>
                <w:i/>
              </w:rPr>
            </w:pPr>
          </w:p>
        </w:tc>
      </w:tr>
      <w:tr w:rsidR="000E5443" w:rsidRPr="00454FF1" w14:paraId="4730A21C" w14:textId="77777777" w:rsidTr="000E5443">
        <w:trPr>
          <w:trHeight w:val="446"/>
        </w:trPr>
        <w:tc>
          <w:tcPr>
            <w:tcW w:w="1961" w:type="dxa"/>
            <w:shd w:val="clear" w:color="auto" w:fill="F2F2F2" w:themeFill="background1" w:themeFillShade="F2"/>
          </w:tcPr>
          <w:p w14:paraId="18107E03" w14:textId="77777777" w:rsidR="000E5443" w:rsidRPr="00454FF1" w:rsidRDefault="000E5443" w:rsidP="000E5443">
            <w:pPr>
              <w:rPr>
                <w:rFonts w:cstheme="minorHAnsi"/>
                <w:b/>
              </w:rPr>
            </w:pPr>
            <w:r>
              <w:rPr>
                <w:rFonts w:cstheme="minorHAnsi"/>
                <w:b/>
              </w:rPr>
              <w:t>Further info:</w:t>
            </w:r>
          </w:p>
        </w:tc>
        <w:tc>
          <w:tcPr>
            <w:tcW w:w="6947" w:type="dxa"/>
          </w:tcPr>
          <w:p w14:paraId="7A631BDB" w14:textId="61BC2E9D" w:rsidR="000E5443" w:rsidRPr="00941E04" w:rsidRDefault="000E5443" w:rsidP="000E5443">
            <w:pPr>
              <w:rPr>
                <w:rFonts w:cstheme="minorHAnsi"/>
              </w:rPr>
            </w:pPr>
            <w:r w:rsidRPr="00837D95">
              <w:rPr>
                <w:rFonts w:cstheme="minorHAnsi"/>
              </w:rPr>
              <w:t>Should potential applicants have questions about the scholarship, they are welcome to contact Aisling Mulvihill via email (</w:t>
            </w:r>
            <w:hyperlink r:id="rId7" w:history="1">
              <w:r w:rsidRPr="00837D95">
                <w:rPr>
                  <w:rStyle w:val="Hyperlink"/>
                  <w:rFonts w:cstheme="minorHAnsi"/>
                </w:rPr>
                <w:t>a.mulvihill@uq.edu.au</w:t>
              </w:r>
            </w:hyperlink>
            <w:r w:rsidRPr="00837D95">
              <w:rPr>
                <w:rFonts w:cstheme="minorHAnsi"/>
              </w:rPr>
              <w:t xml:space="preserve">) prior to </w:t>
            </w:r>
            <w:proofErr w:type="gramStart"/>
            <w:r w:rsidRPr="00837D95">
              <w:rPr>
                <w:rFonts w:cstheme="minorHAnsi"/>
              </w:rPr>
              <w:t>submitting an application</w:t>
            </w:r>
            <w:proofErr w:type="gramEnd"/>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C432" w14:textId="77777777" w:rsidR="0070309E" w:rsidRDefault="0070309E" w:rsidP="0070309E">
      <w:r>
        <w:separator/>
      </w:r>
    </w:p>
  </w:endnote>
  <w:endnote w:type="continuationSeparator" w:id="0">
    <w:p w14:paraId="7FC69762" w14:textId="77777777" w:rsidR="0070309E" w:rsidRDefault="0070309E" w:rsidP="0070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B30F1" w14:textId="77777777" w:rsidR="0070309E" w:rsidRDefault="0070309E" w:rsidP="0070309E">
      <w:r>
        <w:separator/>
      </w:r>
    </w:p>
  </w:footnote>
  <w:footnote w:type="continuationSeparator" w:id="0">
    <w:p w14:paraId="21C85FBA" w14:textId="77777777" w:rsidR="0070309E" w:rsidRDefault="0070309E" w:rsidP="00703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B7F5F"/>
    <w:multiLevelType w:val="hybridMultilevel"/>
    <w:tmpl w:val="1B26DBE6"/>
    <w:lvl w:ilvl="0" w:tplc="BE6850A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FD1738"/>
    <w:multiLevelType w:val="hybridMultilevel"/>
    <w:tmpl w:val="E3C80F06"/>
    <w:lvl w:ilvl="0" w:tplc="BE6850A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6338325">
    <w:abstractNumId w:val="0"/>
  </w:num>
  <w:num w:numId="2" w16cid:durableId="182281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B3D2F"/>
    <w:rsid w:val="000E5443"/>
    <w:rsid w:val="00133885"/>
    <w:rsid w:val="001C1584"/>
    <w:rsid w:val="00245E45"/>
    <w:rsid w:val="00290C8A"/>
    <w:rsid w:val="002B5ABA"/>
    <w:rsid w:val="003570F0"/>
    <w:rsid w:val="00370BF8"/>
    <w:rsid w:val="004175CE"/>
    <w:rsid w:val="00454FF1"/>
    <w:rsid w:val="004C1625"/>
    <w:rsid w:val="00502FC5"/>
    <w:rsid w:val="00511802"/>
    <w:rsid w:val="005646D9"/>
    <w:rsid w:val="00572429"/>
    <w:rsid w:val="006A6D85"/>
    <w:rsid w:val="006E71F5"/>
    <w:rsid w:val="0070309E"/>
    <w:rsid w:val="0077721C"/>
    <w:rsid w:val="007D706C"/>
    <w:rsid w:val="00803CB7"/>
    <w:rsid w:val="00941E04"/>
    <w:rsid w:val="009C6285"/>
    <w:rsid w:val="00A54AF7"/>
    <w:rsid w:val="00A85667"/>
    <w:rsid w:val="00A86224"/>
    <w:rsid w:val="00AF5DB2"/>
    <w:rsid w:val="00BA289F"/>
    <w:rsid w:val="00C16A3E"/>
    <w:rsid w:val="00C20DAA"/>
    <w:rsid w:val="00C736FA"/>
    <w:rsid w:val="00D6134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customStyle="1" w:styleId="Lousstyle">
    <w:name w:val="Lou's style"/>
    <w:basedOn w:val="DefaultParagraphFont"/>
    <w:uiPriority w:val="1"/>
    <w:rsid w:val="000E5443"/>
    <w:rPr>
      <w:rFonts w:ascii="Arial" w:hAnsi="Arial"/>
      <w:color w:val="auto"/>
      <w:sz w:val="20"/>
    </w:rPr>
  </w:style>
  <w:style w:type="paragraph" w:styleId="ListParagraph">
    <w:name w:val="List Paragraph"/>
    <w:basedOn w:val="Normal"/>
    <w:uiPriority w:val="34"/>
    <w:qFormat/>
    <w:rsid w:val="000E5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ulvihill@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Aisling Mulvihill</cp:lastModifiedBy>
  <cp:revision>9</cp:revision>
  <dcterms:created xsi:type="dcterms:W3CDTF">2022-07-22T01:15:00Z</dcterms:created>
  <dcterms:modified xsi:type="dcterms:W3CDTF">2022-07-22T01:37:00Z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2022-04-05T23:34:25Z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1e10ab17-524c-4d32-b586-4c4509315dda</vt:lpwstr>
  </property>
  <property fmtid="{D5CDD505-2E9C-101B-9397-08002B2CF9AE}" pid="8" name="MSIP_Label_0f488380-630a-4f55-a077-a19445e3f360_ContentBits">
    <vt:lpwstr>0</vt:lpwstr>
  </property>
</Properties>
</file>