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7C305A17" w14:textId="77777777" w:rsidTr="000E5443">
        <w:tc>
          <w:tcPr>
            <w:tcW w:w="1961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7" w:type="dxa"/>
          </w:tcPr>
          <w:p w14:paraId="092F71E0" w14:textId="4A3737C3" w:rsidR="00D61347" w:rsidRPr="00454FF1" w:rsidRDefault="000E5443">
            <w:pPr>
              <w:rPr>
                <w:rFonts w:cstheme="minorHAnsi"/>
                <w:b/>
              </w:rPr>
            </w:pPr>
            <w:r w:rsidRPr="00837D95">
              <w:rPr>
                <w:rFonts w:cstheme="minorHAnsi"/>
              </w:rPr>
              <w:t xml:space="preserve">Theory of </w:t>
            </w:r>
            <w:r>
              <w:rPr>
                <w:rFonts w:cstheme="minorHAnsi"/>
              </w:rPr>
              <w:t>M</w:t>
            </w:r>
            <w:r w:rsidRPr="00837D95">
              <w:rPr>
                <w:rFonts w:cstheme="minorHAnsi"/>
              </w:rPr>
              <w:t xml:space="preserve">ind </w:t>
            </w:r>
            <w:r>
              <w:rPr>
                <w:rFonts w:cstheme="minorHAnsi"/>
              </w:rPr>
              <w:t>D</w:t>
            </w:r>
            <w:r w:rsidRPr="00837D95">
              <w:rPr>
                <w:rFonts w:cstheme="minorHAnsi"/>
              </w:rPr>
              <w:t xml:space="preserve">evelopment in </w:t>
            </w:r>
            <w:r>
              <w:rPr>
                <w:rFonts w:cstheme="minorHAnsi"/>
              </w:rPr>
              <w:t>C</w:t>
            </w:r>
            <w:r w:rsidRPr="00837D95">
              <w:rPr>
                <w:rFonts w:cstheme="minorHAnsi"/>
              </w:rPr>
              <w:t xml:space="preserve">hildren with Neurodevelopmental Disorders and </w:t>
            </w:r>
            <w:r>
              <w:rPr>
                <w:rFonts w:cstheme="minorHAnsi"/>
              </w:rPr>
              <w:t>C</w:t>
            </w:r>
            <w:r w:rsidRPr="00837D95">
              <w:rPr>
                <w:rFonts w:cstheme="minorHAnsi"/>
              </w:rPr>
              <w:t>hildren who are Deaf/Hard of Hearing</w:t>
            </w:r>
            <w:r w:rsidRPr="00454FF1">
              <w:rPr>
                <w:rFonts w:cstheme="minorHAnsi"/>
                <w:b/>
              </w:rPr>
              <w:t xml:space="preserve"> </w:t>
            </w:r>
          </w:p>
        </w:tc>
      </w:tr>
      <w:tr w:rsidR="00FA2569" w:rsidRPr="00454FF1" w14:paraId="0AE577D5" w14:textId="77777777" w:rsidTr="000E5443">
        <w:tc>
          <w:tcPr>
            <w:tcW w:w="1961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7" w:type="dxa"/>
          </w:tcPr>
          <w:p w14:paraId="7265C9EB" w14:textId="12A24B6C" w:rsidR="0070309E" w:rsidRDefault="000E5443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E71F5">
              <w:rPr>
                <w:rFonts w:cstheme="minorHAnsi"/>
              </w:rPr>
              <w:t xml:space="preserve"> </w:t>
            </w:r>
            <w:r w:rsidR="0070309E">
              <w:rPr>
                <w:rFonts w:cstheme="minorHAnsi"/>
              </w:rPr>
              <w:t xml:space="preserve">weeks during </w:t>
            </w:r>
            <w:r w:rsidR="006E71F5">
              <w:rPr>
                <w:rFonts w:cstheme="minorHAnsi"/>
              </w:rPr>
              <w:t>Summer</w:t>
            </w:r>
            <w:r w:rsidR="0070309E">
              <w:rPr>
                <w:rFonts w:cstheme="minorHAnsi"/>
              </w:rPr>
              <w:t xml:space="preserve"> Vacation</w:t>
            </w:r>
            <w:r w:rsidR="006E71F5">
              <w:rPr>
                <w:rFonts w:cstheme="minorHAnsi"/>
              </w:rPr>
              <w:t>.</w:t>
            </w:r>
          </w:p>
          <w:p w14:paraId="30962BF6" w14:textId="77777777" w:rsidR="0070309E" w:rsidRDefault="0070309E" w:rsidP="00572718">
            <w:pPr>
              <w:rPr>
                <w:rFonts w:cstheme="minorHAnsi"/>
              </w:rPr>
            </w:pPr>
          </w:p>
          <w:p w14:paraId="3A1A4303" w14:textId="52F9AC4D" w:rsidR="00511802" w:rsidRDefault="00A86224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Hours of engagement </w:t>
            </w:r>
            <w:r w:rsidR="002B5ABA" w:rsidRPr="002B5ABA">
              <w:rPr>
                <w:rFonts w:cstheme="minorHAnsi"/>
              </w:rPr>
              <w:t xml:space="preserve">must be between </w:t>
            </w:r>
            <w:r w:rsidR="000E5443">
              <w:rPr>
                <w:rFonts w:cstheme="minorHAnsi"/>
              </w:rPr>
              <w:t>28-32</w:t>
            </w:r>
            <w:r w:rsidR="002B5ABA" w:rsidRPr="002B5ABA">
              <w:rPr>
                <w:rFonts w:cstheme="minorHAnsi"/>
              </w:rPr>
              <w:t>hrs per week</w:t>
            </w:r>
            <w:r w:rsidR="000E5443">
              <w:rPr>
                <w:rFonts w:cstheme="minorHAnsi"/>
              </w:rPr>
              <w:t xml:space="preserve"> (</w:t>
            </w:r>
            <w:proofErr w:type="spellStart"/>
            <w:r w:rsidR="000E5443">
              <w:rPr>
                <w:rFonts w:cstheme="minorHAnsi"/>
              </w:rPr>
              <w:t>approx</w:t>
            </w:r>
            <w:proofErr w:type="spellEnd"/>
            <w:r w:rsidR="000E5443">
              <w:rPr>
                <w:rFonts w:cstheme="minorHAnsi"/>
              </w:rPr>
              <w:t xml:space="preserve"> 4 days per week)</w:t>
            </w:r>
          </w:p>
          <w:p w14:paraId="1C899B2A" w14:textId="77777777" w:rsidR="002B5ABA" w:rsidRDefault="002B5ABA" w:rsidP="00572718">
            <w:pPr>
              <w:rPr>
                <w:rFonts w:cstheme="minorHAnsi"/>
              </w:rPr>
            </w:pPr>
          </w:p>
          <w:p w14:paraId="6A509388" w14:textId="60C77FD5" w:rsidR="00FA2569" w:rsidRPr="00454FF1" w:rsidRDefault="000E5443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Some tasks can be undertaken off-campus however the scholar will be required to attend campus for some activities</w:t>
            </w:r>
          </w:p>
          <w:p w14:paraId="3038B787" w14:textId="608006F0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0E5443" w:rsidRPr="00454FF1" w14:paraId="4490837A" w14:textId="77777777" w:rsidTr="000E5443">
        <w:tc>
          <w:tcPr>
            <w:tcW w:w="1961" w:type="dxa"/>
            <w:shd w:val="clear" w:color="auto" w:fill="F2F2F2" w:themeFill="background1" w:themeFillShade="F2"/>
          </w:tcPr>
          <w:p w14:paraId="2032EC4A" w14:textId="77777777" w:rsidR="000E5443" w:rsidRPr="00454FF1" w:rsidRDefault="000E5443" w:rsidP="000E5443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7" w:type="dxa"/>
          </w:tcPr>
          <w:p w14:paraId="58E214F7" w14:textId="77777777" w:rsidR="000E5443" w:rsidRPr="00A94E81" w:rsidRDefault="000E5443" w:rsidP="000E5443">
            <w:pPr>
              <w:tabs>
                <w:tab w:val="left" w:pos="2835"/>
              </w:tabs>
              <w:spacing w:after="120"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Project Details:</w:t>
            </w:r>
          </w:p>
          <w:p w14:paraId="04C62803" w14:textId="22891C50" w:rsidR="000E5443" w:rsidRPr="00837D95" w:rsidRDefault="000E5443" w:rsidP="000E5443">
            <w:pPr>
              <w:tabs>
                <w:tab w:val="left" w:pos="2835"/>
              </w:tabs>
              <w:spacing w:after="120" w:line="276" w:lineRule="auto"/>
              <w:rPr>
                <w:rStyle w:val="Lousstyle"/>
                <w:rFonts w:asciiTheme="minorHAnsi" w:hAnsiTheme="minorHAnsi" w:cstheme="minorHAnsi"/>
                <w:sz w:val="22"/>
              </w:rPr>
            </w:pPr>
            <w:r w:rsidRPr="00837D95">
              <w:rPr>
                <w:rFonts w:eastAsia="Times New Roman" w:cstheme="minorHAnsi"/>
                <w:color w:val="000000" w:themeColor="text1"/>
                <w:lang w:eastAsia="en-GB"/>
              </w:rPr>
              <w:t>Theory of Mind (</w:t>
            </w:r>
            <w:proofErr w:type="spellStart"/>
            <w:r w:rsidRPr="00837D95">
              <w:rPr>
                <w:rFonts w:eastAsia="Times New Roman" w:cstheme="minorHAnsi"/>
                <w:color w:val="000000" w:themeColor="text1"/>
                <w:lang w:eastAsia="en-GB"/>
              </w:rPr>
              <w:t>ToM</w:t>
            </w:r>
            <w:proofErr w:type="spellEnd"/>
            <w:r w:rsidRPr="00837D95">
              <w:rPr>
                <w:rFonts w:eastAsia="Times New Roman" w:cstheme="minorHAnsi"/>
                <w:color w:val="000000" w:themeColor="text1"/>
                <w:lang w:eastAsia="en-GB"/>
              </w:rPr>
              <w:t xml:space="preserve">) is the ability to represent one’s own and others’ mental states. The development of </w:t>
            </w:r>
            <w:proofErr w:type="spellStart"/>
            <w:r w:rsidRPr="00837D95">
              <w:rPr>
                <w:rFonts w:eastAsia="Times New Roman" w:cstheme="minorHAnsi"/>
                <w:color w:val="000000" w:themeColor="text1"/>
                <w:lang w:eastAsia="en-GB"/>
              </w:rPr>
              <w:t>ToM</w:t>
            </w:r>
            <w:proofErr w:type="spellEnd"/>
            <w:r w:rsidRPr="00837D95">
              <w:rPr>
                <w:rFonts w:eastAsia="Times New Roman" w:cstheme="minorHAnsi"/>
                <w:color w:val="000000" w:themeColor="text1"/>
                <w:lang w:eastAsia="en-GB"/>
              </w:rPr>
              <w:t xml:space="preserve"> understanding is a foundational for children’s social development</w:t>
            </w:r>
            <w:r w:rsidRPr="00837D95">
              <w:rPr>
                <w:rFonts w:cstheme="minorHAnsi"/>
              </w:rPr>
              <w:t xml:space="preserve">. </w:t>
            </w:r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Research has demonstrated a strong link between </w:t>
            </w:r>
            <w:proofErr w:type="spellStart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>ToM</w:t>
            </w:r>
            <w:proofErr w:type="spellEnd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 and language development, such that delayed or disordered language hinders the development of </w:t>
            </w:r>
            <w:proofErr w:type="spellStart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>ToM</w:t>
            </w:r>
            <w:proofErr w:type="spellEnd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. </w:t>
            </w:r>
          </w:p>
          <w:p w14:paraId="40F9AF04" w14:textId="77777777" w:rsidR="000E5443" w:rsidRPr="00837D95" w:rsidRDefault="000E5443" w:rsidP="000E5443">
            <w:pPr>
              <w:tabs>
                <w:tab w:val="left" w:pos="2835"/>
              </w:tabs>
              <w:spacing w:after="120" w:line="276" w:lineRule="auto"/>
              <w:rPr>
                <w:rFonts w:cstheme="minorHAnsi"/>
              </w:rPr>
            </w:pPr>
            <w:r w:rsidRPr="00A94E81">
              <w:rPr>
                <w:rStyle w:val="Lousstyle"/>
                <w:rFonts w:asciiTheme="minorHAnsi" w:hAnsiTheme="minorHAnsi" w:cstheme="minorHAnsi"/>
                <w:i/>
                <w:iCs/>
                <w:sz w:val="22"/>
              </w:rPr>
              <w:t>Study 1:</w:t>
            </w:r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 C</w:t>
            </w:r>
            <w:r w:rsidRPr="00837D95">
              <w:rPr>
                <w:rFonts w:cstheme="minorHAnsi"/>
              </w:rPr>
              <w:t>hildren who are Deaf or Hard of Hearing (D/</w:t>
            </w:r>
            <w:proofErr w:type="spellStart"/>
            <w:r w:rsidRPr="00837D95">
              <w:rPr>
                <w:rFonts w:cstheme="minorHAnsi"/>
              </w:rPr>
              <w:t>HoH</w:t>
            </w:r>
            <w:proofErr w:type="spellEnd"/>
            <w:r w:rsidRPr="00837D95">
              <w:rPr>
                <w:rFonts w:cstheme="minorHAnsi"/>
              </w:rPr>
              <w:t>) and exposed to sign language from D/</w:t>
            </w:r>
            <w:proofErr w:type="spellStart"/>
            <w:r w:rsidRPr="00837D95">
              <w:rPr>
                <w:rFonts w:cstheme="minorHAnsi"/>
              </w:rPr>
              <w:t>HoH</w:t>
            </w:r>
            <w:proofErr w:type="spellEnd"/>
            <w:r w:rsidRPr="00837D95">
              <w:rPr>
                <w:rFonts w:cstheme="minorHAnsi"/>
              </w:rPr>
              <w:t xml:space="preserve"> parents develop </w:t>
            </w:r>
            <w:proofErr w:type="spellStart"/>
            <w:r w:rsidRPr="00837D95">
              <w:rPr>
                <w:rFonts w:cstheme="minorHAnsi"/>
              </w:rPr>
              <w:t>ToM</w:t>
            </w:r>
            <w:proofErr w:type="spellEnd"/>
            <w:r w:rsidRPr="00837D95">
              <w:rPr>
                <w:rFonts w:cstheme="minorHAnsi"/>
              </w:rPr>
              <w:t xml:space="preserve"> typically, yet D/</w:t>
            </w:r>
            <w:proofErr w:type="spellStart"/>
            <w:r w:rsidRPr="00837D95">
              <w:rPr>
                <w:rFonts w:cstheme="minorHAnsi"/>
              </w:rPr>
              <w:t>HoH</w:t>
            </w:r>
            <w:proofErr w:type="spellEnd"/>
            <w:r w:rsidRPr="00837D95">
              <w:rPr>
                <w:rFonts w:cstheme="minorHAnsi"/>
              </w:rPr>
              <w:t xml:space="preserve"> children born to hearing parents </w:t>
            </w:r>
            <w:proofErr w:type="gramStart"/>
            <w:r w:rsidRPr="00837D95">
              <w:rPr>
                <w:rFonts w:cstheme="minorHAnsi"/>
              </w:rPr>
              <w:t>experience difficulty</w:t>
            </w:r>
            <w:proofErr w:type="gramEnd"/>
            <w:r w:rsidRPr="00837D95">
              <w:rPr>
                <w:rFonts w:cstheme="minorHAnsi"/>
              </w:rPr>
              <w:t xml:space="preserve"> accessing verbal language input and demonstrate </w:t>
            </w:r>
            <w:proofErr w:type="spellStart"/>
            <w:r w:rsidRPr="00837D95">
              <w:rPr>
                <w:rFonts w:cstheme="minorHAnsi"/>
              </w:rPr>
              <w:t>ToM</w:t>
            </w:r>
            <w:proofErr w:type="spellEnd"/>
            <w:r w:rsidRPr="00837D95">
              <w:rPr>
                <w:rFonts w:cstheme="minorHAnsi"/>
              </w:rPr>
              <w:t xml:space="preserve"> delay </w:t>
            </w:r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>(Peterson, Wellman &amp; Slaughter, 2012; Peterson &amp; Wellman, 2009)</w:t>
            </w:r>
            <w:r w:rsidRPr="00837D95">
              <w:rPr>
                <w:rFonts w:cstheme="minorHAnsi"/>
              </w:rPr>
              <w:t xml:space="preserve">. </w:t>
            </w:r>
          </w:p>
          <w:p w14:paraId="58952510" w14:textId="010FE5D5" w:rsidR="000E5443" w:rsidRPr="00837D95" w:rsidRDefault="000E5443" w:rsidP="000E5443">
            <w:pPr>
              <w:tabs>
                <w:tab w:val="left" w:pos="2835"/>
              </w:tabs>
              <w:spacing w:after="120" w:line="276" w:lineRule="auto"/>
              <w:rPr>
                <w:rFonts w:cstheme="minorHAnsi"/>
              </w:rPr>
            </w:pPr>
            <w:r w:rsidRPr="00837D95">
              <w:rPr>
                <w:rFonts w:cstheme="minorHAnsi"/>
              </w:rPr>
              <w:t xml:space="preserve">This study will examine whether exposure to early intervention mitigates </w:t>
            </w:r>
            <w:proofErr w:type="spellStart"/>
            <w:r w:rsidRPr="00837D95">
              <w:rPr>
                <w:rFonts w:cstheme="minorHAnsi"/>
              </w:rPr>
              <w:t>ToM</w:t>
            </w:r>
            <w:proofErr w:type="spellEnd"/>
            <w:r w:rsidRPr="00837D95">
              <w:rPr>
                <w:rFonts w:cstheme="minorHAnsi"/>
              </w:rPr>
              <w:t xml:space="preserve"> delays for children who are D/</w:t>
            </w:r>
            <w:proofErr w:type="spellStart"/>
            <w:r w:rsidRPr="00837D95">
              <w:rPr>
                <w:rFonts w:cstheme="minorHAnsi"/>
              </w:rPr>
              <w:t>HoH</w:t>
            </w:r>
            <w:proofErr w:type="spellEnd"/>
            <w:r w:rsidRPr="00837D95">
              <w:rPr>
                <w:rFonts w:cstheme="minorHAnsi"/>
              </w:rPr>
              <w:t>. This is imperative given that advancements in hearing technology (e.g., cochlear implants) and improved access to early intervention.</w:t>
            </w:r>
          </w:p>
          <w:p w14:paraId="6CBBCDA5" w14:textId="77777777" w:rsidR="000E5443" w:rsidRPr="00837D95" w:rsidRDefault="000E5443" w:rsidP="000E5443">
            <w:pPr>
              <w:tabs>
                <w:tab w:val="left" w:pos="2835"/>
              </w:tabs>
              <w:spacing w:after="120" w:line="276" w:lineRule="auto"/>
              <w:rPr>
                <w:rStyle w:val="Lousstyle"/>
                <w:rFonts w:asciiTheme="minorHAnsi" w:hAnsiTheme="minorHAnsi" w:cstheme="minorHAnsi"/>
                <w:sz w:val="22"/>
              </w:rPr>
            </w:pPr>
            <w:r w:rsidRPr="00A94E81">
              <w:rPr>
                <w:rFonts w:cstheme="minorHAnsi"/>
                <w:i/>
                <w:iCs/>
              </w:rPr>
              <w:t>Study 2:</w:t>
            </w:r>
            <w:r w:rsidRPr="00837D95">
              <w:rPr>
                <w:rFonts w:cstheme="minorHAnsi"/>
              </w:rPr>
              <w:t xml:space="preserve"> Maternal mental state language is associated with </w:t>
            </w:r>
            <w:proofErr w:type="spellStart"/>
            <w:r w:rsidRPr="00837D95">
              <w:rPr>
                <w:rFonts w:cstheme="minorHAnsi"/>
              </w:rPr>
              <w:t>ToM</w:t>
            </w:r>
            <w:proofErr w:type="spellEnd"/>
            <w:r w:rsidRPr="00837D95">
              <w:rPr>
                <w:rFonts w:cstheme="minorHAnsi"/>
              </w:rPr>
              <w:t xml:space="preserve"> development in children who are typically developing. Specifically, m</w:t>
            </w:r>
            <w:r>
              <w:rPr>
                <w:rFonts w:cstheme="minorHAnsi"/>
              </w:rPr>
              <w:t>others</w:t>
            </w:r>
            <w:r w:rsidRPr="00837D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who </w:t>
            </w:r>
            <w:r w:rsidRPr="00837D95">
              <w:rPr>
                <w:rFonts w:cstheme="minorHAnsi"/>
              </w:rPr>
              <w:t>mention and expla</w:t>
            </w:r>
            <w:r>
              <w:rPr>
                <w:rFonts w:cstheme="minorHAnsi"/>
              </w:rPr>
              <w:t>in</w:t>
            </w:r>
            <w:r w:rsidRPr="00837D95">
              <w:rPr>
                <w:rFonts w:cstheme="minorHAnsi"/>
              </w:rPr>
              <w:t xml:space="preserve"> desires, thoughts and emotions </w:t>
            </w:r>
            <w:r>
              <w:rPr>
                <w:rFonts w:cstheme="minorHAnsi"/>
              </w:rPr>
              <w:t>have</w:t>
            </w:r>
            <w:r w:rsidRPr="00837D95">
              <w:rPr>
                <w:rFonts w:cstheme="minorHAnsi"/>
              </w:rPr>
              <w:t xml:space="preserve"> children </w:t>
            </w:r>
            <w:r>
              <w:rPr>
                <w:rFonts w:cstheme="minorHAnsi"/>
              </w:rPr>
              <w:t xml:space="preserve">who </w:t>
            </w:r>
            <w:r w:rsidRPr="00837D95">
              <w:rPr>
                <w:rFonts w:cstheme="minorHAnsi"/>
              </w:rPr>
              <w:t xml:space="preserve">demonstrate more advanced </w:t>
            </w:r>
            <w:proofErr w:type="spellStart"/>
            <w:r w:rsidRPr="00837D95">
              <w:rPr>
                <w:rFonts w:cstheme="minorHAnsi"/>
              </w:rPr>
              <w:t>ToM</w:t>
            </w:r>
            <w:proofErr w:type="spellEnd"/>
            <w:r w:rsidRPr="00837D95">
              <w:rPr>
                <w:rFonts w:cstheme="minorHAnsi"/>
              </w:rPr>
              <w:t xml:space="preserve"> understanding. Currently, there is limited evidence regarding the nature of maternal mental state language to children with a range of neurodevelopmental disorders. </w:t>
            </w:r>
          </w:p>
          <w:p w14:paraId="0AA89EC3" w14:textId="59F0DBC4" w:rsidR="000E5443" w:rsidRPr="00837D95" w:rsidRDefault="000E5443" w:rsidP="000E5443">
            <w:pPr>
              <w:tabs>
                <w:tab w:val="left" w:pos="2835"/>
              </w:tabs>
              <w:spacing w:after="120" w:line="276" w:lineRule="auto"/>
              <w:rPr>
                <w:rStyle w:val="Lousstyle"/>
                <w:rFonts w:asciiTheme="minorHAnsi" w:hAnsiTheme="minorHAnsi" w:cstheme="minorHAnsi"/>
                <w:sz w:val="22"/>
              </w:rPr>
            </w:pPr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This study will examine the nature of maternal mental state language to children with neurodevelopmental disorders and its relationship with </w:t>
            </w:r>
            <w:proofErr w:type="spellStart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>ToM</w:t>
            </w:r>
            <w:proofErr w:type="spellEnd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 development.</w:t>
            </w:r>
          </w:p>
          <w:p w14:paraId="6EEE3C69" w14:textId="01DF4548" w:rsidR="000E5443" w:rsidRPr="00454FF1" w:rsidRDefault="000E5443" w:rsidP="000E5443">
            <w:pPr>
              <w:rPr>
                <w:rFonts w:cstheme="minorHAnsi"/>
                <w:i/>
              </w:rPr>
            </w:pPr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Through these studies we aim to better understand diversity in </w:t>
            </w:r>
            <w:proofErr w:type="spellStart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>ToM</w:t>
            </w:r>
            <w:proofErr w:type="spellEnd"/>
            <w:r w:rsidRPr="00837D95">
              <w:rPr>
                <w:rStyle w:val="Lousstyle"/>
                <w:rFonts w:asciiTheme="minorHAnsi" w:hAnsiTheme="minorHAnsi" w:cstheme="minorHAnsi"/>
                <w:sz w:val="22"/>
              </w:rPr>
              <w:t xml:space="preserve"> development and inform interventions for children who experience social skills difficulties. </w:t>
            </w:r>
          </w:p>
        </w:tc>
      </w:tr>
      <w:tr w:rsidR="000E5443" w:rsidRPr="00454FF1" w14:paraId="6616051D" w14:textId="77777777" w:rsidTr="000E5443">
        <w:trPr>
          <w:trHeight w:val="1028"/>
        </w:trPr>
        <w:tc>
          <w:tcPr>
            <w:tcW w:w="1961" w:type="dxa"/>
            <w:shd w:val="clear" w:color="auto" w:fill="F2F2F2" w:themeFill="background1" w:themeFillShade="F2"/>
          </w:tcPr>
          <w:p w14:paraId="7710B88F" w14:textId="77777777" w:rsidR="000E5443" w:rsidRPr="00454FF1" w:rsidRDefault="000E5443" w:rsidP="000E54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Expected outcomes and deliverables:</w:t>
            </w:r>
          </w:p>
        </w:tc>
        <w:tc>
          <w:tcPr>
            <w:tcW w:w="6947" w:type="dxa"/>
          </w:tcPr>
          <w:p w14:paraId="7B63AAB5" w14:textId="77777777" w:rsidR="000E5443" w:rsidRPr="00837D95" w:rsidRDefault="000E5443" w:rsidP="000E5443">
            <w:pPr>
              <w:spacing w:line="276" w:lineRule="auto"/>
              <w:rPr>
                <w:rFonts w:cstheme="minorHAnsi"/>
                <w:iCs/>
                <w:color w:val="000000"/>
              </w:rPr>
            </w:pPr>
            <w:r w:rsidRPr="00837D95">
              <w:rPr>
                <w:rFonts w:cstheme="minorHAnsi"/>
                <w:iCs/>
                <w:color w:val="000000"/>
              </w:rPr>
              <w:t>Applicants may have opportunity to undertake the following tasks:</w:t>
            </w:r>
          </w:p>
          <w:p w14:paraId="3998ECD2" w14:textId="77777777" w:rsidR="000E5443" w:rsidRPr="00837D95" w:rsidRDefault="000E5443" w:rsidP="000E54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iCs/>
                <w:color w:val="000000"/>
              </w:rPr>
            </w:pPr>
            <w:r w:rsidRPr="00837D95">
              <w:rPr>
                <w:rFonts w:cstheme="minorHAnsi"/>
                <w:iCs/>
                <w:color w:val="000000"/>
              </w:rPr>
              <w:t>Review of relevant literature</w:t>
            </w:r>
          </w:p>
          <w:p w14:paraId="3AC212ED" w14:textId="77777777" w:rsidR="000E5443" w:rsidRPr="00837D95" w:rsidRDefault="000E5443" w:rsidP="000E54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iCs/>
                <w:color w:val="000000"/>
              </w:rPr>
            </w:pPr>
            <w:r w:rsidRPr="00837D95">
              <w:rPr>
                <w:rFonts w:cstheme="minorHAnsi"/>
                <w:iCs/>
                <w:color w:val="000000"/>
              </w:rPr>
              <w:t>Strategic literature searching</w:t>
            </w:r>
          </w:p>
          <w:p w14:paraId="425CD162" w14:textId="77777777" w:rsidR="000E5443" w:rsidRPr="00837D95" w:rsidRDefault="000E5443" w:rsidP="000E54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iCs/>
                <w:color w:val="000000"/>
              </w:rPr>
            </w:pPr>
            <w:r w:rsidRPr="00837D95">
              <w:rPr>
                <w:rFonts w:cstheme="minorHAnsi"/>
                <w:iCs/>
                <w:color w:val="000000"/>
              </w:rPr>
              <w:t xml:space="preserve">Completion of transcripts from video/audio files </w:t>
            </w:r>
          </w:p>
          <w:p w14:paraId="0634A7A5" w14:textId="77777777" w:rsidR="000E5443" w:rsidRDefault="000E5443" w:rsidP="000E54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iCs/>
                <w:color w:val="000000"/>
              </w:rPr>
            </w:pPr>
            <w:r w:rsidRPr="00837D95">
              <w:rPr>
                <w:rFonts w:cstheme="minorHAnsi"/>
                <w:iCs/>
                <w:color w:val="000000"/>
              </w:rPr>
              <w:t>Data coding</w:t>
            </w:r>
          </w:p>
          <w:p w14:paraId="5E9F45DE" w14:textId="77777777" w:rsidR="000E5443" w:rsidRPr="000E5443" w:rsidRDefault="000E5443" w:rsidP="000E54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iCs/>
                <w:color w:val="000000"/>
              </w:rPr>
            </w:pPr>
            <w:r w:rsidRPr="000E5443">
              <w:rPr>
                <w:rFonts w:cstheme="minorHAnsi"/>
                <w:iCs/>
                <w:color w:val="000000"/>
              </w:rPr>
              <w:t>Data entry</w:t>
            </w:r>
            <w:r w:rsidRPr="000E5443">
              <w:rPr>
                <w:rFonts w:cstheme="minorHAnsi"/>
                <w:i/>
              </w:rPr>
              <w:t xml:space="preserve"> </w:t>
            </w:r>
          </w:p>
          <w:p w14:paraId="5AC5E052" w14:textId="77777777" w:rsidR="000E5443" w:rsidRPr="000E5443" w:rsidRDefault="000E5443" w:rsidP="000E54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</w:rPr>
              <w:t xml:space="preserve">There may be some opportunity for testing </w:t>
            </w:r>
          </w:p>
          <w:p w14:paraId="48A11100" w14:textId="2AAD709C" w:rsidR="000E5443" w:rsidRPr="000E5443" w:rsidRDefault="000E5443" w:rsidP="000E5443">
            <w:pPr>
              <w:pStyle w:val="ListParagraph"/>
              <w:spacing w:line="276" w:lineRule="auto"/>
              <w:rPr>
                <w:rFonts w:cstheme="minorHAnsi"/>
                <w:iCs/>
                <w:color w:val="000000"/>
              </w:rPr>
            </w:pPr>
          </w:p>
        </w:tc>
      </w:tr>
      <w:tr w:rsidR="000E5443" w:rsidRPr="00454FF1" w14:paraId="62FC7FD6" w14:textId="77777777" w:rsidTr="000E5443">
        <w:trPr>
          <w:trHeight w:val="1676"/>
        </w:trPr>
        <w:tc>
          <w:tcPr>
            <w:tcW w:w="1961" w:type="dxa"/>
            <w:shd w:val="clear" w:color="auto" w:fill="F2F2F2" w:themeFill="background1" w:themeFillShade="F2"/>
          </w:tcPr>
          <w:p w14:paraId="75CF1AC0" w14:textId="77777777" w:rsidR="000E5443" w:rsidRPr="00454FF1" w:rsidRDefault="000E5443" w:rsidP="000E5443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7" w:type="dxa"/>
          </w:tcPr>
          <w:p w14:paraId="70913D1C" w14:textId="77777777" w:rsidR="000E5443" w:rsidRDefault="000E5443" w:rsidP="000E54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000000"/>
              </w:rPr>
            </w:pPr>
            <w:r w:rsidRPr="00837D95">
              <w:rPr>
                <w:rFonts w:cstheme="minorHAnsi"/>
                <w:color w:val="000000"/>
              </w:rPr>
              <w:t xml:space="preserve">Students with </w:t>
            </w:r>
            <w:r>
              <w:rPr>
                <w:rFonts w:cstheme="minorHAnsi"/>
                <w:color w:val="000000"/>
              </w:rPr>
              <w:t xml:space="preserve">an </w:t>
            </w:r>
            <w:r w:rsidRPr="00837D95">
              <w:rPr>
                <w:rFonts w:cstheme="minorHAnsi"/>
                <w:color w:val="000000"/>
              </w:rPr>
              <w:t>interest in Developmental Psychology.</w:t>
            </w:r>
          </w:p>
          <w:p w14:paraId="188E3507" w14:textId="77777777" w:rsidR="000E5443" w:rsidRDefault="000E5443" w:rsidP="000E54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000000"/>
              </w:rPr>
            </w:pPr>
            <w:r w:rsidRPr="000E5443">
              <w:rPr>
                <w:rFonts w:cstheme="minorHAnsi"/>
                <w:color w:val="000000"/>
              </w:rPr>
              <w:t>This project is open to applications from students enrolled within the School of Psychology, UQ.</w:t>
            </w:r>
          </w:p>
          <w:p w14:paraId="2544FF22" w14:textId="1708304C" w:rsidR="000E5443" w:rsidRPr="000E5443" w:rsidRDefault="000E5443" w:rsidP="000E54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Working with Children Blue Card is desirable</w:t>
            </w:r>
          </w:p>
        </w:tc>
      </w:tr>
      <w:tr w:rsidR="000E5443" w:rsidRPr="00454FF1" w14:paraId="3D379308" w14:textId="77777777" w:rsidTr="000E5443">
        <w:tc>
          <w:tcPr>
            <w:tcW w:w="1961" w:type="dxa"/>
            <w:shd w:val="clear" w:color="auto" w:fill="F2F2F2" w:themeFill="background1" w:themeFillShade="F2"/>
          </w:tcPr>
          <w:p w14:paraId="0BC10F56" w14:textId="77777777" w:rsidR="000E5443" w:rsidRDefault="000E5443" w:rsidP="000E54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0E5443" w:rsidRPr="00454FF1" w:rsidRDefault="000E5443" w:rsidP="000E5443">
            <w:pPr>
              <w:rPr>
                <w:rFonts w:cstheme="minorHAnsi"/>
                <w:b/>
              </w:rPr>
            </w:pPr>
          </w:p>
        </w:tc>
        <w:tc>
          <w:tcPr>
            <w:tcW w:w="6947" w:type="dxa"/>
          </w:tcPr>
          <w:p w14:paraId="311823C5" w14:textId="6389339F" w:rsidR="000E5443" w:rsidRPr="00941E04" w:rsidRDefault="000E5443" w:rsidP="000E5443">
            <w:pPr>
              <w:rPr>
                <w:rFonts w:cstheme="minorHAnsi"/>
              </w:rPr>
            </w:pPr>
            <w:r>
              <w:rPr>
                <w:rFonts w:cstheme="minorHAnsi"/>
              </w:rPr>
              <w:t>Dr Aisling Mulvihill</w:t>
            </w:r>
          </w:p>
          <w:p w14:paraId="06210E8B" w14:textId="77777777" w:rsidR="000E5443" w:rsidRPr="00454FF1" w:rsidRDefault="000E5443" w:rsidP="000E5443">
            <w:pPr>
              <w:rPr>
                <w:rFonts w:cstheme="minorHAnsi"/>
                <w:i/>
              </w:rPr>
            </w:pPr>
          </w:p>
        </w:tc>
      </w:tr>
      <w:tr w:rsidR="000E5443" w:rsidRPr="00454FF1" w14:paraId="4730A21C" w14:textId="77777777" w:rsidTr="000E5443">
        <w:trPr>
          <w:trHeight w:val="446"/>
        </w:trPr>
        <w:tc>
          <w:tcPr>
            <w:tcW w:w="1961" w:type="dxa"/>
            <w:shd w:val="clear" w:color="auto" w:fill="F2F2F2" w:themeFill="background1" w:themeFillShade="F2"/>
          </w:tcPr>
          <w:p w14:paraId="18107E03" w14:textId="77777777" w:rsidR="000E5443" w:rsidRPr="00454FF1" w:rsidRDefault="000E5443" w:rsidP="000E54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7" w:type="dxa"/>
          </w:tcPr>
          <w:p w14:paraId="7A631BDB" w14:textId="61BC2E9D" w:rsidR="000E5443" w:rsidRPr="00941E04" w:rsidRDefault="000E5443" w:rsidP="000E5443">
            <w:pPr>
              <w:rPr>
                <w:rFonts w:cstheme="minorHAnsi"/>
              </w:rPr>
            </w:pPr>
            <w:r w:rsidRPr="00837D95">
              <w:rPr>
                <w:rFonts w:cstheme="minorHAnsi"/>
              </w:rPr>
              <w:t>Should potential applicants have questions about the scholarship, they are welcome to contact Aisling Mulvihill via email (</w:t>
            </w:r>
            <w:hyperlink r:id="rId7" w:history="1">
              <w:r w:rsidRPr="00837D95">
                <w:rPr>
                  <w:rStyle w:val="Hyperlink"/>
                  <w:rFonts w:cstheme="minorHAnsi"/>
                </w:rPr>
                <w:t>a.mulvihill@uq.edu.au</w:t>
              </w:r>
            </w:hyperlink>
            <w:r w:rsidRPr="00837D95">
              <w:rPr>
                <w:rFonts w:cstheme="minorHAnsi"/>
              </w:rPr>
              <w:t xml:space="preserve">) prior to </w:t>
            </w:r>
            <w:proofErr w:type="gramStart"/>
            <w:r w:rsidRPr="00837D95">
              <w:rPr>
                <w:rFonts w:cstheme="minorHAnsi"/>
              </w:rPr>
              <w:t>submitting an application</w:t>
            </w:r>
            <w:proofErr w:type="gramEnd"/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C432" w14:textId="77777777" w:rsidR="0070309E" w:rsidRDefault="0070309E" w:rsidP="0070309E">
      <w:r>
        <w:separator/>
      </w:r>
    </w:p>
  </w:endnote>
  <w:endnote w:type="continuationSeparator" w:id="0">
    <w:p w14:paraId="7FC69762" w14:textId="77777777" w:rsidR="0070309E" w:rsidRDefault="0070309E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30F1" w14:textId="77777777" w:rsidR="0070309E" w:rsidRDefault="0070309E" w:rsidP="0070309E">
      <w:r>
        <w:separator/>
      </w:r>
    </w:p>
  </w:footnote>
  <w:footnote w:type="continuationSeparator" w:id="0">
    <w:p w14:paraId="21C85FBA" w14:textId="77777777" w:rsidR="0070309E" w:rsidRDefault="0070309E" w:rsidP="0070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F5F"/>
    <w:multiLevelType w:val="hybridMultilevel"/>
    <w:tmpl w:val="1B26DBE6"/>
    <w:lvl w:ilvl="0" w:tplc="BE6850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D1738"/>
    <w:multiLevelType w:val="hybridMultilevel"/>
    <w:tmpl w:val="E3C80F06"/>
    <w:lvl w:ilvl="0" w:tplc="BE6850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38325">
    <w:abstractNumId w:val="0"/>
  </w:num>
  <w:num w:numId="2" w16cid:durableId="18228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E5443"/>
    <w:rsid w:val="001C1584"/>
    <w:rsid w:val="00245E45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66662A"/>
    <w:rsid w:val="006E71F5"/>
    <w:rsid w:val="0070309E"/>
    <w:rsid w:val="007D706C"/>
    <w:rsid w:val="00941E04"/>
    <w:rsid w:val="00A54AF7"/>
    <w:rsid w:val="00A85667"/>
    <w:rsid w:val="00A86224"/>
    <w:rsid w:val="00AF5DB2"/>
    <w:rsid w:val="00BA289F"/>
    <w:rsid w:val="00C16A3E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customStyle="1" w:styleId="Lousstyle">
    <w:name w:val="Lou's style"/>
    <w:basedOn w:val="DefaultParagraphFont"/>
    <w:uiPriority w:val="1"/>
    <w:rsid w:val="000E5443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E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ulvihill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Naomi Cooke</cp:lastModifiedBy>
  <cp:revision>3</cp:revision>
  <dcterms:created xsi:type="dcterms:W3CDTF">2022-07-22T01:14:00Z</dcterms:created>
  <dcterms:modified xsi:type="dcterms:W3CDTF">2022-07-22T06:03:00Z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