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46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0F39ABD4" w:rsidR="00D61347" w:rsidRPr="00D34A65" w:rsidRDefault="0005697A" w:rsidP="002D7BF7">
            <w:pPr>
              <w:spacing w:before="120" w:after="120"/>
              <w:rPr>
                <w:rFonts w:cstheme="minorHAnsi"/>
              </w:rPr>
            </w:pPr>
            <w:r w:rsidRPr="00D34A65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Bystander Responses to Dysfunctional and Abusive Workplace Behaviour: A Scoping Review 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AF2D311" w14:textId="67B20C18" w:rsidR="00D34A65" w:rsidRPr="00D7361E" w:rsidRDefault="00D34A65" w:rsidP="002D7BF7">
            <w:pPr>
              <w:spacing w:before="120" w:after="120"/>
              <w:rPr>
                <w:rFonts w:cstheme="minorHAnsi"/>
                <w:iCs/>
              </w:rPr>
            </w:pPr>
            <w:r w:rsidRPr="00D7361E">
              <w:rPr>
                <w:rFonts w:cstheme="minorHAnsi"/>
                <w:iCs/>
                <w:color w:val="000000"/>
              </w:rPr>
              <w:t>Scholars will conduct 25 hours of research per week, for a</w:t>
            </w:r>
            <w:r>
              <w:rPr>
                <w:rFonts w:cstheme="minorHAnsi"/>
                <w:iCs/>
                <w:color w:val="000000"/>
              </w:rPr>
              <w:t>n</w:t>
            </w:r>
            <w:r w:rsidRPr="00D7361E">
              <w:rPr>
                <w:rFonts w:cstheme="minorHAnsi"/>
                <w:iCs/>
                <w:color w:val="000000"/>
              </w:rPr>
              <w:t xml:space="preserve"> </w:t>
            </w:r>
            <w:r>
              <w:rPr>
                <w:rFonts w:cstheme="minorHAnsi"/>
                <w:iCs/>
                <w:color w:val="000000"/>
              </w:rPr>
              <w:t>8</w:t>
            </w:r>
            <w:r w:rsidRPr="00D7361E">
              <w:rPr>
                <w:rFonts w:cstheme="minorHAnsi"/>
                <w:iCs/>
                <w:color w:val="000000"/>
              </w:rPr>
              <w:t xml:space="preserve">-week period. </w:t>
            </w:r>
          </w:p>
          <w:p w14:paraId="3038B787" w14:textId="1444AE9C" w:rsidR="0005697A" w:rsidRPr="000414D5" w:rsidRDefault="008F63D8" w:rsidP="002D7BF7">
            <w:pPr>
              <w:spacing w:before="120" w:after="120"/>
              <w:rPr>
                <w:rFonts w:cstheme="minorHAnsi"/>
                <w:iCs/>
              </w:rPr>
            </w:pPr>
            <w:r>
              <w:rPr>
                <w:iCs/>
              </w:rPr>
              <w:t>Successful s</w:t>
            </w:r>
            <w:r w:rsidR="0005697A">
              <w:rPr>
                <w:iCs/>
              </w:rPr>
              <w:t xml:space="preserve">cholars can complete the project from </w:t>
            </w:r>
            <w:r>
              <w:rPr>
                <w:iCs/>
              </w:rPr>
              <w:t>home or other remote settings,</w:t>
            </w:r>
            <w:r w:rsidR="0005697A">
              <w:rPr>
                <w:iCs/>
              </w:rPr>
              <w:t xml:space="preserve"> but they should make themselves available for weekly meetings in-person or via Zoom. 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EEE3C69" w14:textId="65FCFFE1" w:rsidR="00FA2569" w:rsidRPr="0005697A" w:rsidRDefault="000414D5" w:rsidP="002D7BF7">
            <w:pPr>
              <w:spacing w:before="120" w:after="120"/>
            </w:pPr>
            <w:r w:rsidRPr="0072384B">
              <w:t>Dysfunctional and abusive workplace behaviour is a</w:t>
            </w:r>
            <w:r>
              <w:t>n</w:t>
            </w:r>
            <w:r w:rsidRPr="0072384B">
              <w:t xml:space="preserve"> </w:t>
            </w:r>
            <w:r>
              <w:t xml:space="preserve">ongoing threat to the health and productivity of </w:t>
            </w:r>
            <w:r w:rsidRPr="0072384B">
              <w:t>workplaces</w:t>
            </w:r>
            <w:r>
              <w:t xml:space="preserve"> (</w:t>
            </w:r>
            <w:r w:rsidRPr="0018206D">
              <w:t>Mikkelsen</w:t>
            </w:r>
            <w:r>
              <w:t xml:space="preserve"> et al. 2020). O</w:t>
            </w:r>
            <w:r w:rsidRPr="0072384B">
              <w:t xml:space="preserve">rganisations, </w:t>
            </w:r>
            <w:r w:rsidRPr="0072384B">
              <w:t>practitioners,</w:t>
            </w:r>
            <w:r w:rsidRPr="0072384B">
              <w:t xml:space="preserve"> and academics alike </w:t>
            </w:r>
            <w:r>
              <w:t xml:space="preserve">continue to </w:t>
            </w:r>
            <w:r w:rsidRPr="0072384B">
              <w:t xml:space="preserve">seek </w:t>
            </w:r>
            <w:r>
              <w:t xml:space="preserve">methods for preventing and managing such </w:t>
            </w:r>
            <w:r w:rsidRPr="0072384B">
              <w:t xml:space="preserve">behaviours. One </w:t>
            </w:r>
            <w:r w:rsidRPr="0072384B">
              <w:t>area</w:t>
            </w:r>
            <w:r w:rsidRPr="0072384B">
              <w:t xml:space="preserve"> of intervention </w:t>
            </w:r>
            <w:r>
              <w:t xml:space="preserve">– bystander intervention – </w:t>
            </w:r>
            <w:r w:rsidRPr="0072384B">
              <w:t xml:space="preserve">has received </w:t>
            </w:r>
            <w:r>
              <w:t>increased</w:t>
            </w:r>
            <w:r w:rsidRPr="0072384B">
              <w:t xml:space="preserve"> attention in recent years, spurred</w:t>
            </w:r>
            <w:r w:rsidRPr="00857641">
              <w:t xml:space="preserve"> </w:t>
            </w:r>
            <w:r w:rsidRPr="00EA1F10">
              <w:t>by social movements such as #metoo (Brown &amp; Battle, 2019</w:t>
            </w:r>
            <w:r w:rsidRPr="00EA1F10">
              <w:rPr>
                <w:rStyle w:val="FootnoteReference"/>
              </w:rPr>
              <w:footnoteReference w:id="1"/>
            </w:r>
            <w:r w:rsidRPr="00EA1F10">
              <w:t>; O’Neil et al 2019</w:t>
            </w:r>
            <w:r w:rsidRPr="00D658EF">
              <w:rPr>
                <w:rStyle w:val="FootnoteReference"/>
              </w:rPr>
              <w:footnoteReference w:id="2"/>
            </w:r>
            <w:r w:rsidRPr="00D658EF">
              <w:t>)</w:t>
            </w:r>
            <w:r>
              <w:t xml:space="preserve">. Understanding </w:t>
            </w:r>
            <w:r w:rsidRPr="00E00AE6">
              <w:t xml:space="preserve">how </w:t>
            </w:r>
            <w:r>
              <w:t xml:space="preserve">witnesses and bystanders </w:t>
            </w:r>
            <w:r w:rsidRPr="00EA1F10">
              <w:t>are affected by poor workplace behaviour</w:t>
            </w:r>
            <w:r>
              <w:t xml:space="preserve">s </w:t>
            </w:r>
            <w:r w:rsidRPr="00EA1F10">
              <w:t>(Salin &amp; Notelaers, 2018</w:t>
            </w:r>
            <w:r w:rsidRPr="00EA1F10">
              <w:rPr>
                <w:rStyle w:val="FootnoteReference"/>
              </w:rPr>
              <w:footnoteReference w:id="3"/>
            </w:r>
            <w:r w:rsidRPr="00EA1F10">
              <w:t>; Sprigg et al., 2019</w:t>
            </w:r>
            <w:r w:rsidRPr="00EA1F10">
              <w:rPr>
                <w:rStyle w:val="FootnoteReference"/>
              </w:rPr>
              <w:footnoteReference w:id="4"/>
            </w:r>
            <w:r w:rsidRPr="00EA1F10">
              <w:t xml:space="preserve">), and how they respond to </w:t>
            </w:r>
            <w:r>
              <w:t>such behaviours</w:t>
            </w:r>
            <w:r w:rsidRPr="00EA1F10">
              <w:t xml:space="preserve"> (Li et al. 2019</w:t>
            </w:r>
            <w:r w:rsidRPr="00EA1F10">
              <w:rPr>
                <w:rStyle w:val="FootnoteReference"/>
              </w:rPr>
              <w:footnoteReference w:id="5"/>
            </w:r>
            <w:r w:rsidRPr="00EA1F10">
              <w:t>; Ng et al. 2019</w:t>
            </w:r>
            <w:r w:rsidRPr="00857641">
              <w:rPr>
                <w:rStyle w:val="FootnoteReference"/>
              </w:rPr>
              <w:footnoteReference w:id="6"/>
            </w:r>
            <w:r w:rsidRPr="00857641">
              <w:t>)</w:t>
            </w:r>
            <w:r>
              <w:t xml:space="preserve"> may form a solid foundation from which organisations can shape policy, </w:t>
            </w:r>
            <w:r>
              <w:t>procedure,</w:t>
            </w:r>
            <w:r>
              <w:t xml:space="preserve"> and processes to tackle unwanted workplace behaviour. </w:t>
            </w:r>
            <w:r w:rsidRPr="00857641">
              <w:t>However,</w:t>
            </w:r>
            <w:r w:rsidRPr="00857641">
              <w:t xml:space="preserve"> th</w:t>
            </w:r>
            <w:r>
              <w:t xml:space="preserve">is field of </w:t>
            </w:r>
            <w:r w:rsidRPr="00857641">
              <w:t>research, especially in an organisational context, is segmented and piecemeal.</w:t>
            </w:r>
            <w:r>
              <w:t xml:space="preserve"> A thorough evaluation and ‘stock take’ of existing scholarly investigations of bystander intervention is needed</w:t>
            </w:r>
            <w:r w:rsidRPr="004A1B18">
              <w:t xml:space="preserve"> </w:t>
            </w:r>
            <w:r>
              <w:t>to</w:t>
            </w:r>
            <w:r>
              <w:t xml:space="preserve"> provide (a) a robust evidence-base for organisations to draw upon and build policy, and (b) a basis for academics to continue contributing meaningfully to the scope of research</w:t>
            </w:r>
            <w:r w:rsidR="0005697A">
              <w:t xml:space="preserve">. </w:t>
            </w: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99628EC" w14:textId="3F3A04F7" w:rsidR="00FB6EA9" w:rsidRDefault="002D7BF7" w:rsidP="002D7BF7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D34A65">
              <w:rPr>
                <w:rFonts w:cstheme="minorHAnsi"/>
                <w:color w:val="000000"/>
              </w:rPr>
              <w:t>he</w:t>
            </w:r>
            <w:r w:rsidR="00D34A65" w:rsidRPr="00D34A65">
              <w:rPr>
                <w:rFonts w:cstheme="minorHAnsi"/>
                <w:color w:val="000000"/>
              </w:rPr>
              <w:t xml:space="preserve"> purpose</w:t>
            </w:r>
            <w:r>
              <w:rPr>
                <w:rFonts w:cstheme="minorHAnsi"/>
                <w:color w:val="000000"/>
              </w:rPr>
              <w:t xml:space="preserve"> of the literature review</w:t>
            </w:r>
            <w:r w:rsidR="00D34A65" w:rsidRPr="00D34A65">
              <w:rPr>
                <w:rFonts w:cstheme="minorHAnsi"/>
                <w:color w:val="000000"/>
              </w:rPr>
              <w:t xml:space="preserve"> is to convey to </w:t>
            </w:r>
            <w:r w:rsidR="00D34A65">
              <w:rPr>
                <w:rFonts w:cstheme="minorHAnsi"/>
                <w:color w:val="000000"/>
              </w:rPr>
              <w:t>the</w:t>
            </w:r>
            <w:r w:rsidR="00D34A65" w:rsidRPr="00D34A65">
              <w:rPr>
                <w:rFonts w:cstheme="minorHAnsi"/>
                <w:color w:val="000000"/>
              </w:rPr>
              <w:t xml:space="preserve"> reader what knowledge and ideas have been established on a topic, and what their strengths and weaknesses are.</w:t>
            </w:r>
            <w:r w:rsidR="00D34A65">
              <w:rPr>
                <w:rFonts w:cstheme="minorHAnsi"/>
                <w:color w:val="000000"/>
              </w:rPr>
              <w:t xml:space="preserve"> </w:t>
            </w:r>
            <w:r w:rsidR="00FB6EA9">
              <w:rPr>
                <w:rFonts w:cstheme="minorHAnsi"/>
                <w:color w:val="000000"/>
              </w:rPr>
              <w:t>As such, literature reviews form a pivotal part of the research process.</w:t>
            </w:r>
          </w:p>
          <w:p w14:paraId="74D036DD" w14:textId="72D5BEF5" w:rsidR="00AF5522" w:rsidRDefault="00AF5522" w:rsidP="002D7BF7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is inherently suited to students who will complete a thesis/research portfolio during their university program. </w:t>
            </w:r>
          </w:p>
          <w:p w14:paraId="48A11100" w14:textId="24754FF1" w:rsidR="00FA2569" w:rsidRPr="002D7BF7" w:rsidRDefault="0082047F" w:rsidP="002D7BF7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have the opportunity to conduct a </w:t>
            </w:r>
            <w:r w:rsidR="00AF5522">
              <w:rPr>
                <w:rFonts w:cstheme="minorHAnsi"/>
                <w:color w:val="000000"/>
              </w:rPr>
              <w:t xml:space="preserve">scoping </w:t>
            </w:r>
            <w:r>
              <w:rPr>
                <w:rFonts w:cstheme="minorHAnsi"/>
                <w:color w:val="000000"/>
              </w:rPr>
              <w:t>literature review from start to finish</w:t>
            </w:r>
            <w:r w:rsidR="00AF5522">
              <w:rPr>
                <w:rFonts w:cstheme="minorHAnsi"/>
                <w:color w:val="000000"/>
              </w:rPr>
              <w:t xml:space="preserve"> (i.</w:t>
            </w:r>
            <w:r w:rsidR="002D7BF7">
              <w:rPr>
                <w:rFonts w:cstheme="minorHAnsi"/>
                <w:color w:val="000000"/>
              </w:rPr>
              <w:t xml:space="preserve">e., identify keywords, identify databases, conduct </w:t>
            </w:r>
            <w:r w:rsidR="002D7BF7">
              <w:rPr>
                <w:rFonts w:cstheme="minorHAnsi"/>
                <w:color w:val="000000"/>
              </w:rPr>
              <w:lastRenderedPageBreak/>
              <w:t>searches, sort articles, extract and organise information)</w:t>
            </w:r>
            <w:r>
              <w:rPr>
                <w:rFonts w:cstheme="minorHAnsi"/>
                <w:color w:val="000000"/>
              </w:rPr>
              <w:t xml:space="preserve">. </w:t>
            </w:r>
            <w:r w:rsidR="00AF5522">
              <w:rPr>
                <w:rFonts w:cstheme="minorHAnsi"/>
                <w:color w:val="000000"/>
              </w:rPr>
              <w:t>Scholars may elect to complete</w:t>
            </w:r>
            <w:r w:rsidR="002D7BF7">
              <w:rPr>
                <w:rFonts w:cstheme="minorHAnsi"/>
                <w:color w:val="000000"/>
              </w:rPr>
              <w:t xml:space="preserve"> additional</w:t>
            </w:r>
            <w:r w:rsidR="00AF5522">
              <w:rPr>
                <w:rFonts w:cstheme="minorHAnsi"/>
                <w:color w:val="000000"/>
              </w:rPr>
              <w:t xml:space="preserve"> internal training sessions with the UQ library to enhance their skills and knowledge as part of the project scope. </w:t>
            </w:r>
          </w:p>
        </w:tc>
      </w:tr>
      <w:tr w:rsidR="00FA2569" w:rsidRPr="00454FF1" w14:paraId="62FC7FD6" w14:textId="77777777" w:rsidTr="008F63D8">
        <w:trPr>
          <w:trHeight w:val="1563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389CFA89" w14:textId="00614456" w:rsidR="00F9552C" w:rsidRDefault="00F9552C" w:rsidP="002D7BF7">
            <w:pPr>
              <w:spacing w:before="120" w:after="120"/>
              <w:rPr>
                <w:rFonts w:cstheme="minorHAnsi"/>
                <w:iCs/>
                <w:color w:val="000000"/>
              </w:rPr>
            </w:pPr>
            <w:r w:rsidRPr="00F9552C">
              <w:rPr>
                <w:rFonts w:cstheme="minorHAnsi"/>
                <w:iCs/>
                <w:color w:val="000000"/>
              </w:rPr>
              <w:t>This project is best suited to st</w:t>
            </w:r>
            <w:r>
              <w:rPr>
                <w:rFonts w:cstheme="minorHAnsi"/>
                <w:iCs/>
                <w:color w:val="000000"/>
              </w:rPr>
              <w:t xml:space="preserve">udents enrolled in a Psychology program who are currently in their </w:t>
            </w:r>
            <w:r w:rsidR="002D7BF7">
              <w:rPr>
                <w:rFonts w:cstheme="minorHAnsi"/>
                <w:iCs/>
                <w:color w:val="000000"/>
              </w:rPr>
              <w:t xml:space="preserve">second year </w:t>
            </w:r>
            <w:r>
              <w:rPr>
                <w:rFonts w:cstheme="minorHAnsi"/>
                <w:iCs/>
                <w:color w:val="000000"/>
              </w:rPr>
              <w:t xml:space="preserve">onwards. </w:t>
            </w:r>
          </w:p>
          <w:p w14:paraId="2544FF22" w14:textId="612511C7" w:rsidR="00FA2569" w:rsidRPr="000414D5" w:rsidRDefault="00F9552C" w:rsidP="002D7BF7">
            <w:pPr>
              <w:spacing w:before="120" w:after="120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Students who are interested in research and collating literature are encouraged to apply</w:t>
            </w:r>
            <w:r w:rsidR="000414D5">
              <w:rPr>
                <w:rFonts w:cstheme="minorHAnsi"/>
                <w:iCs/>
                <w:color w:val="000000"/>
              </w:rPr>
              <w:t xml:space="preserve">. 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Pr="002D7BF7" w:rsidRDefault="00C20DAA" w:rsidP="00572718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 xml:space="preserve">Primary </w:t>
            </w:r>
            <w:r w:rsidR="00FA2569" w:rsidRPr="002D7BF7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2D7BF7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017ACB42" w:rsidR="00FA2569" w:rsidRPr="000414D5" w:rsidRDefault="00CC4248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Dr Annabelle Neall</w:t>
            </w:r>
            <w:r w:rsidR="00FA2569" w:rsidRPr="00941E04">
              <w:rPr>
                <w:rFonts w:cstheme="minorHAnsi"/>
              </w:rPr>
              <w:t xml:space="preserve"> 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1B2D7550" w:rsidR="00941E04" w:rsidRPr="00941E04" w:rsidRDefault="00CC4248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further information about the project please contact Dr Neall at </w:t>
            </w:r>
            <w:hyperlink r:id="rId6" w:history="1">
              <w:r w:rsidRPr="00163BFE">
                <w:rPr>
                  <w:rStyle w:val="Hyperlink"/>
                  <w:rFonts w:cstheme="minorHAnsi"/>
                </w:rPr>
                <w:t>a.neall@uq.edu.au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C432" w14:textId="77777777" w:rsidR="0070309E" w:rsidRDefault="0070309E" w:rsidP="0070309E">
      <w:r>
        <w:separator/>
      </w:r>
    </w:p>
  </w:endnote>
  <w:endnote w:type="continuationSeparator" w:id="0">
    <w:p w14:paraId="7FC69762" w14:textId="77777777" w:rsidR="0070309E" w:rsidRDefault="0070309E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30F1" w14:textId="77777777" w:rsidR="0070309E" w:rsidRDefault="0070309E" w:rsidP="0070309E">
      <w:r>
        <w:separator/>
      </w:r>
    </w:p>
  </w:footnote>
  <w:footnote w:type="continuationSeparator" w:id="0">
    <w:p w14:paraId="21C85FBA" w14:textId="77777777" w:rsidR="0070309E" w:rsidRDefault="0070309E" w:rsidP="0070309E">
      <w:r>
        <w:continuationSeparator/>
      </w:r>
    </w:p>
  </w:footnote>
  <w:footnote w:id="1">
    <w:p w14:paraId="626E7894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rStyle w:val="FootnoteReference"/>
          <w:sz w:val="16"/>
          <w:szCs w:val="16"/>
        </w:rPr>
        <w:footnoteRef/>
      </w:r>
      <w:r w:rsidRPr="00E41475">
        <w:rPr>
          <w:sz w:val="16"/>
          <w:szCs w:val="16"/>
        </w:rPr>
        <w:t xml:space="preserve"> Brown, S. E. V. &amp; Battle, J. S. (2019). Ostracizing targets of workplace sexual harassment before and after the #MeToo movement. </w:t>
      </w:r>
      <w:r w:rsidRPr="00E41475">
        <w:rPr>
          <w:i/>
          <w:iCs/>
          <w:sz w:val="16"/>
          <w:szCs w:val="16"/>
        </w:rPr>
        <w:t>Equality, Diversity and Inclusion</w:t>
      </w:r>
      <w:r w:rsidRPr="00E41475">
        <w:rPr>
          <w:sz w:val="16"/>
          <w:szCs w:val="16"/>
        </w:rPr>
        <w:t>. doi: 10.1108/EDI-09-2018-0162</w:t>
      </w:r>
    </w:p>
  </w:footnote>
  <w:footnote w:id="2">
    <w:p w14:paraId="4314B39C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rStyle w:val="FootnoteReference"/>
          <w:sz w:val="16"/>
          <w:szCs w:val="16"/>
        </w:rPr>
        <w:footnoteRef/>
      </w:r>
      <w:r w:rsidRPr="00E41475">
        <w:rPr>
          <w:sz w:val="16"/>
          <w:szCs w:val="16"/>
        </w:rPr>
        <w:t xml:space="preserve"> O'Neil, A., Sojo, V., Fileborn, B., Scovelle, A. J., &amp; Milner, A. (2018). The #MeToo movement: an opportunity in public health? </w:t>
      </w:r>
      <w:r w:rsidRPr="00E41475">
        <w:rPr>
          <w:i/>
          <w:iCs/>
          <w:sz w:val="16"/>
          <w:szCs w:val="16"/>
        </w:rPr>
        <w:t>The Lancet, 391</w:t>
      </w:r>
      <w:r w:rsidRPr="00E41475">
        <w:rPr>
          <w:sz w:val="16"/>
          <w:szCs w:val="16"/>
        </w:rPr>
        <w:t>(10140), 2587-2589.</w:t>
      </w:r>
    </w:p>
  </w:footnote>
  <w:footnote w:id="3">
    <w:p w14:paraId="0C3B4C74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rStyle w:val="FootnoteReference"/>
          <w:sz w:val="16"/>
          <w:szCs w:val="16"/>
        </w:rPr>
        <w:footnoteRef/>
      </w:r>
      <w:r w:rsidRPr="00E41475">
        <w:rPr>
          <w:sz w:val="16"/>
          <w:szCs w:val="16"/>
        </w:rPr>
        <w:t xml:space="preserve"> Salin, D. &amp; Notelaers, G. (2019). The effects of workplace bullying on witnesses: Violation of the psychological contract as an explanatory mechanism? </w:t>
      </w:r>
      <w:r w:rsidRPr="00E41475">
        <w:rPr>
          <w:i/>
          <w:iCs/>
          <w:sz w:val="16"/>
          <w:szCs w:val="16"/>
        </w:rPr>
        <w:t>The International Journal of Human Resource Management</w:t>
      </w:r>
      <w:r w:rsidRPr="00E41475">
        <w:rPr>
          <w:sz w:val="16"/>
          <w:szCs w:val="16"/>
        </w:rPr>
        <w:t xml:space="preserve">, 1-21. </w:t>
      </w:r>
    </w:p>
  </w:footnote>
  <w:footnote w:id="4">
    <w:p w14:paraId="59F0BD61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rStyle w:val="FootnoteReference"/>
          <w:sz w:val="16"/>
          <w:szCs w:val="16"/>
        </w:rPr>
        <w:footnoteRef/>
      </w:r>
      <w:r w:rsidRPr="00E41475">
        <w:rPr>
          <w:sz w:val="16"/>
          <w:szCs w:val="16"/>
        </w:rPr>
        <w:t xml:space="preserve"> </w:t>
      </w:r>
      <w:r w:rsidRPr="00E41475">
        <w:rPr>
          <w:rFonts w:cstheme="minorHAnsi"/>
          <w:sz w:val="16"/>
          <w:szCs w:val="16"/>
        </w:rPr>
        <w:t xml:space="preserve">Sprigg, C.A., Niven, K., Dawson, J., Farley, S. &amp; Armitage, C. J. (2019). Witnessing workplace bullying and employee well-being: A two-wave field study. </w:t>
      </w:r>
      <w:r w:rsidRPr="00E41475">
        <w:rPr>
          <w:rFonts w:cstheme="minorHAnsi"/>
          <w:i/>
          <w:iCs/>
          <w:sz w:val="16"/>
          <w:szCs w:val="16"/>
        </w:rPr>
        <w:t>Journal of Occupational Health Psychology, 24</w:t>
      </w:r>
      <w:r w:rsidRPr="00E41475">
        <w:rPr>
          <w:rFonts w:cstheme="minorHAnsi"/>
          <w:sz w:val="16"/>
          <w:szCs w:val="16"/>
        </w:rPr>
        <w:t xml:space="preserve">(2), 286-296. doi: 10.1037/ocp0000137. </w:t>
      </w:r>
    </w:p>
  </w:footnote>
  <w:footnote w:id="5">
    <w:p w14:paraId="039E17C5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rStyle w:val="FootnoteReference"/>
          <w:sz w:val="16"/>
          <w:szCs w:val="16"/>
        </w:rPr>
        <w:footnoteRef/>
      </w:r>
      <w:r w:rsidRPr="00E41475">
        <w:rPr>
          <w:sz w:val="16"/>
          <w:szCs w:val="16"/>
        </w:rPr>
        <w:t xml:space="preserve"> Li, X., McAllister, D., Ilies R, et al. (2019). Schadenfreude: A counter-normative observer response</w:t>
      </w:r>
    </w:p>
    <w:p w14:paraId="630298C3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sz w:val="16"/>
          <w:szCs w:val="16"/>
        </w:rPr>
        <w:t xml:space="preserve">to workplace mistreatment. </w:t>
      </w:r>
      <w:r w:rsidRPr="00E41475">
        <w:rPr>
          <w:i/>
          <w:iCs/>
          <w:sz w:val="16"/>
          <w:szCs w:val="16"/>
        </w:rPr>
        <w:t>Academy of Management Review 44</w:t>
      </w:r>
      <w:r w:rsidRPr="00E41475">
        <w:rPr>
          <w:sz w:val="16"/>
          <w:szCs w:val="16"/>
        </w:rPr>
        <w:t>(2), 360–376.</w:t>
      </w:r>
    </w:p>
  </w:footnote>
  <w:footnote w:id="6">
    <w:p w14:paraId="75AB5384" w14:textId="77777777" w:rsidR="000414D5" w:rsidRPr="00E41475" w:rsidRDefault="000414D5" w:rsidP="000414D5">
      <w:pPr>
        <w:pStyle w:val="FootnoteText"/>
        <w:rPr>
          <w:sz w:val="16"/>
          <w:szCs w:val="16"/>
        </w:rPr>
      </w:pPr>
      <w:r w:rsidRPr="00E41475">
        <w:rPr>
          <w:rStyle w:val="FootnoteReference"/>
          <w:sz w:val="16"/>
          <w:szCs w:val="16"/>
        </w:rPr>
        <w:footnoteRef/>
      </w:r>
      <w:r w:rsidRPr="00E41475">
        <w:rPr>
          <w:sz w:val="16"/>
          <w:szCs w:val="16"/>
        </w:rPr>
        <w:t xml:space="preserve"> Ng, K., Niven, K. &amp; Hoel, H. (2019). ‘I could help, but . . .’: A dynamic sensemaking model of workplace</w:t>
      </w:r>
    </w:p>
    <w:p w14:paraId="48AFF79F" w14:textId="77777777" w:rsidR="000414D5" w:rsidRDefault="000414D5" w:rsidP="000414D5">
      <w:pPr>
        <w:pStyle w:val="FootnoteText"/>
      </w:pPr>
      <w:r w:rsidRPr="00E41475">
        <w:rPr>
          <w:sz w:val="16"/>
          <w:szCs w:val="16"/>
        </w:rPr>
        <w:t xml:space="preserve">bullying bystanders. </w:t>
      </w:r>
      <w:r w:rsidRPr="00E41475">
        <w:rPr>
          <w:i/>
          <w:iCs/>
          <w:sz w:val="16"/>
          <w:szCs w:val="16"/>
        </w:rPr>
        <w:t>Human Relations</w:t>
      </w:r>
      <w:r w:rsidRPr="00E41475">
        <w:rPr>
          <w:sz w:val="16"/>
          <w:szCs w:val="16"/>
        </w:rPr>
        <w:t>, ﻿1-29. doi: 10.1177/0018726719884617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14D5"/>
    <w:rsid w:val="0005697A"/>
    <w:rsid w:val="001C1584"/>
    <w:rsid w:val="002B5ABA"/>
    <w:rsid w:val="002D7BF7"/>
    <w:rsid w:val="003570F0"/>
    <w:rsid w:val="004175CE"/>
    <w:rsid w:val="00454FF1"/>
    <w:rsid w:val="004C1625"/>
    <w:rsid w:val="00502FC5"/>
    <w:rsid w:val="00511802"/>
    <w:rsid w:val="005646D9"/>
    <w:rsid w:val="00572429"/>
    <w:rsid w:val="006E71F5"/>
    <w:rsid w:val="0070309E"/>
    <w:rsid w:val="007749DE"/>
    <w:rsid w:val="007D706C"/>
    <w:rsid w:val="0082047F"/>
    <w:rsid w:val="008F63D8"/>
    <w:rsid w:val="00941E04"/>
    <w:rsid w:val="00A54AF7"/>
    <w:rsid w:val="00A85667"/>
    <w:rsid w:val="00A86224"/>
    <w:rsid w:val="00AF5522"/>
    <w:rsid w:val="00AF5DB2"/>
    <w:rsid w:val="00BA289F"/>
    <w:rsid w:val="00C16A3E"/>
    <w:rsid w:val="00C20DAA"/>
    <w:rsid w:val="00C736FA"/>
    <w:rsid w:val="00CC4248"/>
    <w:rsid w:val="00D34A65"/>
    <w:rsid w:val="00D61347"/>
    <w:rsid w:val="00F9552C"/>
    <w:rsid w:val="00FA2569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CC4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4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eall@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Annabelle Neall</cp:lastModifiedBy>
  <cp:revision>2</cp:revision>
  <dcterms:created xsi:type="dcterms:W3CDTF">2022-07-20T23:08:00Z</dcterms:created>
  <dcterms:modified xsi:type="dcterms:W3CDTF">2022-07-20T23:08:00Z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